
<file path=[Content_Types].xml><?xml version="1.0" encoding="utf-8"?>
<Types xmlns="http://schemas.openxmlformats.org/package/2006/content-types">
  <Default Extension="xml" ContentType="application/xml"/>
  <Default Extension="rels" ContentType="application/vnd.openxmlformats-package.relationships+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893FC" w14:textId="77777777" w:rsidR="00472CF8" w:rsidRDefault="00472CF8" w:rsidP="00F215EE">
      <w:pPr>
        <w:spacing w:line="360" w:lineRule="auto"/>
        <w:jc w:val="center"/>
        <w:rPr>
          <w:rFonts w:ascii="微軟正黑體" w:eastAsia="微軟正黑體" w:hAnsi="微軟正黑體"/>
          <w:b/>
          <w:sz w:val="48"/>
        </w:rPr>
      </w:pPr>
      <w:r>
        <w:rPr>
          <w:rFonts w:ascii="微軟正黑體" w:eastAsia="微軟正黑體" w:hAnsi="微軟正黑體" w:hint="eastAsia"/>
          <w:b/>
          <w:sz w:val="48"/>
        </w:rPr>
        <w:t>成功</w:t>
      </w:r>
      <w:r w:rsidR="004B6B81" w:rsidRPr="002C1B27">
        <w:rPr>
          <w:rFonts w:ascii="微軟正黑體" w:eastAsia="微軟正黑體" w:hAnsi="微軟正黑體" w:hint="eastAsia"/>
          <w:b/>
          <w:sz w:val="48"/>
        </w:rPr>
        <w:t>大學</w:t>
      </w:r>
    </w:p>
    <w:p w14:paraId="5782188B" w14:textId="77777777" w:rsidR="004B6B81" w:rsidRPr="002C1B27" w:rsidRDefault="002C1B27" w:rsidP="00F215EE">
      <w:pPr>
        <w:spacing w:line="360" w:lineRule="auto"/>
        <w:jc w:val="center"/>
        <w:rPr>
          <w:rFonts w:ascii="微軟正黑體" w:eastAsia="微軟正黑體" w:hAnsi="微軟正黑體"/>
          <w:b/>
          <w:sz w:val="44"/>
        </w:rPr>
      </w:pPr>
      <w:r>
        <w:rPr>
          <w:rFonts w:ascii="微軟正黑體" w:eastAsia="微軟正黑體" w:hAnsi="微軟正黑體" w:hint="eastAsia"/>
          <w:b/>
          <w:sz w:val="48"/>
        </w:rPr>
        <w:t>科學傳播媒體通路</w:t>
      </w:r>
      <w:r w:rsidR="004B6B81" w:rsidRPr="002C1B27">
        <w:rPr>
          <w:rFonts w:ascii="微軟正黑體" w:eastAsia="微軟正黑體" w:hAnsi="微軟正黑體" w:hint="eastAsia"/>
          <w:b/>
          <w:sz w:val="48"/>
        </w:rPr>
        <w:t>企劃書</w:t>
      </w:r>
    </w:p>
    <w:p w14:paraId="34F46FDA" w14:textId="77777777" w:rsidR="00420903" w:rsidRPr="00A41547" w:rsidRDefault="002C1B27" w:rsidP="00472CF8">
      <w:pPr>
        <w:spacing w:line="360" w:lineRule="auto"/>
        <w:ind w:right="-145"/>
        <w:rPr>
          <w:rFonts w:ascii="微軟正黑體" w:eastAsia="微軟正黑體" w:hAnsi="微軟正黑體"/>
        </w:rPr>
      </w:pPr>
      <w:r w:rsidRPr="00A41547">
        <w:rPr>
          <w:rFonts w:ascii="微軟正黑體" w:eastAsia="微軟正黑體" w:hAnsi="微軟正黑體" w:hint="eastAsia"/>
        </w:rPr>
        <w:t>組長：</w:t>
      </w:r>
      <w:r w:rsidR="000A4B04" w:rsidRPr="00A41547">
        <w:rPr>
          <w:rFonts w:ascii="微軟正黑體" w:eastAsia="微軟正黑體" w:hAnsi="微軟正黑體" w:hint="eastAsia"/>
        </w:rPr>
        <w:t>藍允涵</w:t>
      </w:r>
      <w:r w:rsidRPr="00A41547">
        <w:rPr>
          <w:rFonts w:ascii="微軟正黑體" w:eastAsia="微軟正黑體" w:hAnsi="微軟正黑體" w:hint="eastAsia"/>
        </w:rPr>
        <w:t>；組員：</w:t>
      </w:r>
      <w:r w:rsidR="000A4B04" w:rsidRPr="00A41547">
        <w:rPr>
          <w:rFonts w:ascii="微軟正黑體" w:eastAsia="微軟正黑體" w:hAnsi="微軟正黑體" w:hint="eastAsia"/>
        </w:rPr>
        <w:t>趙子嫣, 莊民頡, 蔡佩軒</w:t>
      </w:r>
    </w:p>
    <w:p w14:paraId="2073D27E" w14:textId="79B6B160" w:rsidR="00F215EE" w:rsidRPr="00A41547" w:rsidRDefault="00F215EE" w:rsidP="00472CF8">
      <w:pPr>
        <w:spacing w:line="360" w:lineRule="auto"/>
        <w:jc w:val="right"/>
        <w:rPr>
          <w:rFonts w:ascii="微軟正黑體" w:eastAsia="微軟正黑體" w:hAnsi="微軟正黑體"/>
        </w:rPr>
      </w:pPr>
      <w:r w:rsidRPr="00A41547">
        <w:rPr>
          <w:rFonts w:ascii="微軟正黑體" w:eastAsia="微軟正黑體" w:hAnsi="微軟正黑體" w:hint="eastAsia"/>
        </w:rPr>
        <w:t>製表日期</w:t>
      </w:r>
      <w:r w:rsidRPr="00A41547">
        <w:rPr>
          <w:rFonts w:ascii="微軟正黑體" w:eastAsia="微軟正黑體" w:hAnsi="微軟正黑體"/>
        </w:rPr>
        <w:t xml:space="preserve">: </w:t>
      </w:r>
      <w:r w:rsidRPr="00A41547">
        <w:rPr>
          <w:rFonts w:ascii="微軟正黑體" w:eastAsia="微軟正黑體" w:hAnsi="微軟正黑體" w:hint="eastAsia"/>
        </w:rPr>
        <w:t>20</w:t>
      </w:r>
      <w:r w:rsidR="002C1B27" w:rsidRPr="00A41547">
        <w:rPr>
          <w:rFonts w:ascii="微軟正黑體" w:eastAsia="微軟正黑體" w:hAnsi="微軟正黑體" w:hint="eastAsia"/>
        </w:rPr>
        <w:t>13</w:t>
      </w:r>
      <w:r w:rsidRPr="00A41547">
        <w:rPr>
          <w:rFonts w:ascii="微軟正黑體" w:eastAsia="微軟正黑體" w:hAnsi="微軟正黑體"/>
        </w:rPr>
        <w:t xml:space="preserve"> / </w:t>
      </w:r>
      <w:r w:rsidR="000A4B04" w:rsidRPr="00A41547">
        <w:rPr>
          <w:rFonts w:ascii="微軟正黑體" w:eastAsia="微軟正黑體" w:hAnsi="微軟正黑體" w:hint="eastAsia"/>
        </w:rPr>
        <w:t>12</w:t>
      </w:r>
      <w:r w:rsidRPr="00A41547">
        <w:rPr>
          <w:rFonts w:ascii="微軟正黑體" w:eastAsia="微軟正黑體" w:hAnsi="微軟正黑體"/>
        </w:rPr>
        <w:t>/</w:t>
      </w:r>
      <w:r w:rsidR="00A41547">
        <w:rPr>
          <w:rFonts w:ascii="微軟正黑體" w:eastAsia="微軟正黑體" w:hAnsi="微軟正黑體" w:hint="eastAsia"/>
        </w:rPr>
        <w:t>29</w:t>
      </w:r>
    </w:p>
    <w:tbl>
      <w:tblPr>
        <w:tblW w:w="9887" w:type="dxa"/>
        <w:tblInd w:w="28" w:type="dxa"/>
        <w:tblLayout w:type="fixed"/>
        <w:tblCellMar>
          <w:left w:w="28" w:type="dxa"/>
          <w:right w:w="28" w:type="dxa"/>
        </w:tblCellMar>
        <w:tblLook w:val="0000" w:firstRow="0" w:lastRow="0" w:firstColumn="0" w:lastColumn="0" w:noHBand="0" w:noVBand="0"/>
      </w:tblPr>
      <w:tblGrid>
        <w:gridCol w:w="9887"/>
      </w:tblGrid>
      <w:tr w:rsidR="004B6B81" w:rsidRPr="00A41547" w14:paraId="52A43508"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165EEC84" w14:textId="77777777" w:rsidR="004B6B81" w:rsidRPr="00A41547" w:rsidRDefault="00420903" w:rsidP="000A4B04">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t>主題</w:t>
            </w:r>
            <w:r w:rsidR="004B6B81" w:rsidRPr="00A41547">
              <w:rPr>
                <w:rFonts w:ascii="微軟正黑體" w:eastAsia="微軟正黑體" w:hAnsi="微軟正黑體" w:hint="eastAsia"/>
                <w:sz w:val="36"/>
              </w:rPr>
              <w:t>：</w:t>
            </w:r>
            <w:r w:rsidR="000A4B04" w:rsidRPr="00A41547">
              <w:rPr>
                <w:rFonts w:ascii="微軟正黑體" w:eastAsia="微軟正黑體" w:hAnsi="微軟正黑體" w:hint="eastAsia"/>
                <w:sz w:val="36"/>
              </w:rPr>
              <w:t>洗髮產品--大解密</w:t>
            </w:r>
          </w:p>
        </w:tc>
      </w:tr>
      <w:tr w:rsidR="00420903" w:rsidRPr="00A41547" w14:paraId="2DF50BBE"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30E90B06" w14:textId="77777777" w:rsidR="005661A7" w:rsidRDefault="00420903" w:rsidP="0091604A">
            <w:pPr>
              <w:pStyle w:val="a5"/>
              <w:numPr>
                <w:ilvl w:val="0"/>
                <w:numId w:val="2"/>
              </w:numPr>
              <w:spacing w:line="360" w:lineRule="auto"/>
              <w:ind w:leftChars="0"/>
              <w:jc w:val="both"/>
              <w:rPr>
                <w:rFonts w:ascii="微軟正黑體" w:eastAsia="微軟正黑體" w:hAnsi="微軟正黑體" w:hint="eastAsia"/>
                <w:sz w:val="36"/>
              </w:rPr>
            </w:pPr>
            <w:r w:rsidRPr="00A41547">
              <w:rPr>
                <w:rFonts w:ascii="微軟正黑體" w:eastAsia="微軟正黑體" w:hAnsi="微軟正黑體" w:hint="eastAsia"/>
                <w:sz w:val="36"/>
              </w:rPr>
              <w:t>傳播目的</w:t>
            </w:r>
            <w:r w:rsidR="008D3800" w:rsidRPr="00A41547">
              <w:rPr>
                <w:rFonts w:ascii="微軟正黑體" w:eastAsia="微軟正黑體" w:hAnsi="微軟正黑體" w:hint="eastAsia"/>
                <w:sz w:val="36"/>
              </w:rPr>
              <w:t>：</w:t>
            </w:r>
          </w:p>
          <w:p w14:paraId="00934CC7" w14:textId="11958F50" w:rsidR="00420903" w:rsidRPr="005661A7" w:rsidRDefault="005661A7" w:rsidP="005661A7">
            <w:pPr>
              <w:spacing w:line="360" w:lineRule="auto"/>
              <w:jc w:val="both"/>
              <w:rPr>
                <w:rFonts w:ascii="微軟正黑體" w:eastAsia="微軟正黑體" w:hAnsi="微軟正黑體"/>
                <w:sz w:val="36"/>
              </w:rPr>
            </w:pPr>
            <w:r>
              <w:rPr>
                <w:rFonts w:ascii="微軟正黑體" w:eastAsia="微軟正黑體" w:hAnsi="微軟正黑體" w:hint="eastAsia"/>
                <w:sz w:val="28"/>
                <w:szCs w:val="28"/>
              </w:rPr>
              <w:t xml:space="preserve">    </w:t>
            </w:r>
            <w:r w:rsidR="000A4B04" w:rsidRPr="005661A7">
              <w:rPr>
                <w:rFonts w:ascii="微軟正黑體" w:eastAsia="微軟正黑體" w:hAnsi="微軟正黑體" w:hint="eastAsia"/>
                <w:sz w:val="28"/>
                <w:szCs w:val="28"/>
              </w:rPr>
              <w:t>破除一般民眾對於常添加於洗髮產品的矽靈之迷思，希望民眾在</w:t>
            </w:r>
            <w:r w:rsidR="00987204" w:rsidRPr="005661A7">
              <w:rPr>
                <w:rFonts w:ascii="微軟正黑體" w:eastAsia="微軟正黑體" w:hAnsi="微軟正黑體" w:hint="eastAsia"/>
                <w:sz w:val="28"/>
                <w:szCs w:val="28"/>
              </w:rPr>
              <w:t>購買前可以充分瞭解矽靈的功用及影響，藉此瞭解矽靈對於頭皮或身體健康影響的科學面。</w:t>
            </w:r>
          </w:p>
        </w:tc>
      </w:tr>
      <w:tr w:rsidR="0017454D" w:rsidRPr="00A41547" w14:paraId="4B57F132" w14:textId="77777777" w:rsidTr="00472CF8">
        <w:trPr>
          <w:cantSplit/>
          <w:trHeight w:val="861"/>
        </w:trPr>
        <w:tc>
          <w:tcPr>
            <w:tcW w:w="9887" w:type="dxa"/>
            <w:tcBorders>
              <w:top w:val="single" w:sz="6" w:space="0" w:color="auto"/>
              <w:left w:val="single" w:sz="6" w:space="0" w:color="auto"/>
              <w:bottom w:val="single" w:sz="6" w:space="0" w:color="auto"/>
              <w:right w:val="single" w:sz="6" w:space="0" w:color="auto"/>
            </w:tcBorders>
          </w:tcPr>
          <w:p w14:paraId="0C98DC4E" w14:textId="77777777" w:rsidR="005661A7" w:rsidRDefault="0017454D" w:rsidP="00987204">
            <w:pPr>
              <w:pStyle w:val="a5"/>
              <w:numPr>
                <w:ilvl w:val="0"/>
                <w:numId w:val="2"/>
              </w:numPr>
              <w:spacing w:line="360" w:lineRule="auto"/>
              <w:ind w:leftChars="0"/>
              <w:jc w:val="both"/>
              <w:rPr>
                <w:rFonts w:ascii="微軟正黑體" w:eastAsia="微軟正黑體" w:hAnsi="微軟正黑體" w:hint="eastAsia"/>
                <w:sz w:val="36"/>
              </w:rPr>
            </w:pPr>
            <w:r w:rsidRPr="00A41547">
              <w:rPr>
                <w:rFonts w:ascii="微軟正黑體" w:eastAsia="微軟正黑體" w:hAnsi="微軟正黑體" w:hint="eastAsia"/>
                <w:sz w:val="36"/>
              </w:rPr>
              <w:t>動機：</w:t>
            </w:r>
          </w:p>
          <w:p w14:paraId="2CD03A43" w14:textId="1E049586" w:rsidR="0017454D" w:rsidRPr="005661A7" w:rsidRDefault="005661A7" w:rsidP="005661A7">
            <w:pPr>
              <w:spacing w:line="360" w:lineRule="auto"/>
              <w:jc w:val="both"/>
              <w:rPr>
                <w:rFonts w:ascii="微軟正黑體" w:eastAsia="微軟正黑體" w:hAnsi="微軟正黑體"/>
                <w:sz w:val="36"/>
              </w:rPr>
            </w:pPr>
            <w:r>
              <w:rPr>
                <w:rFonts w:ascii="微軟正黑體" w:eastAsia="微軟正黑體" w:hAnsi="微軟正黑體" w:hint="eastAsia"/>
                <w:sz w:val="28"/>
                <w:szCs w:val="28"/>
              </w:rPr>
              <w:t xml:space="preserve">    </w:t>
            </w:r>
            <w:r w:rsidR="00987204" w:rsidRPr="005661A7">
              <w:rPr>
                <w:rFonts w:ascii="微軟正黑體" w:eastAsia="微軟正黑體" w:hAnsi="微軟正黑體" w:hint="eastAsia"/>
                <w:sz w:val="28"/>
                <w:szCs w:val="28"/>
              </w:rPr>
              <w:t>因為洗髮產品是每個人每</w:t>
            </w:r>
            <w:r w:rsidR="00E628DD" w:rsidRPr="005661A7">
              <w:rPr>
                <w:rFonts w:ascii="微軟正黑體" w:eastAsia="微軟正黑體" w:hAnsi="微軟正黑體" w:hint="eastAsia"/>
                <w:sz w:val="28"/>
                <w:szCs w:val="28"/>
              </w:rPr>
              <w:t>日都會接觸的化學合成物，而網路上對於矽靈是否有害的說法不一，女性在</w:t>
            </w:r>
            <w:r w:rsidR="00987204" w:rsidRPr="005661A7">
              <w:rPr>
                <w:rFonts w:ascii="微軟正黑體" w:eastAsia="微軟正黑體" w:hAnsi="微軟正黑體" w:hint="eastAsia"/>
                <w:sz w:val="28"/>
                <w:szCs w:val="28"/>
              </w:rPr>
              <w:t>購買洗髮產品時，也會詳細地察看是否含有矽靈，</w:t>
            </w:r>
            <w:r w:rsidR="00E628DD" w:rsidRPr="005661A7">
              <w:rPr>
                <w:rFonts w:ascii="微軟正黑體" w:eastAsia="微軟正黑體" w:hAnsi="微軟正黑體" w:hint="eastAsia"/>
                <w:sz w:val="28"/>
                <w:szCs w:val="28"/>
              </w:rPr>
              <w:t>因此，想藉由傳播矽靈的相關資訊來破除迷思。</w:t>
            </w:r>
          </w:p>
        </w:tc>
      </w:tr>
      <w:tr w:rsidR="004B6B81" w:rsidRPr="00A41547" w14:paraId="5BAC4B39"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07CCECFD" w14:textId="77777777" w:rsidR="004B6B81" w:rsidRPr="00A41547" w:rsidRDefault="00420903" w:rsidP="0091604A">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t>傳播</w:t>
            </w:r>
            <w:r w:rsidR="002C1B27" w:rsidRPr="00A41547">
              <w:rPr>
                <w:rFonts w:ascii="微軟正黑體" w:eastAsia="微軟正黑體" w:hAnsi="微軟正黑體" w:hint="eastAsia"/>
                <w:sz w:val="36"/>
              </w:rPr>
              <w:t>長度</w:t>
            </w:r>
            <w:r w:rsidR="004B6B81" w:rsidRPr="00A41547">
              <w:rPr>
                <w:rFonts w:ascii="微軟正黑體" w:eastAsia="微軟正黑體" w:hAnsi="微軟正黑體" w:hint="eastAsia"/>
                <w:sz w:val="36"/>
              </w:rPr>
              <w:t>：</w:t>
            </w:r>
            <w:r w:rsidR="000A4B04" w:rsidRPr="00A41547">
              <w:rPr>
                <w:rFonts w:ascii="微軟正黑體" w:eastAsia="微軟正黑體" w:hAnsi="微軟正黑體" w:hint="eastAsia"/>
                <w:sz w:val="28"/>
                <w:szCs w:val="28"/>
              </w:rPr>
              <w:t>2 min 20 second</w:t>
            </w:r>
          </w:p>
        </w:tc>
      </w:tr>
      <w:tr w:rsidR="004B6B81" w:rsidRPr="00A41547" w14:paraId="4405A545"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7BCEB513" w14:textId="11092EC6" w:rsidR="004B6B81" w:rsidRPr="00A41547" w:rsidRDefault="00FE2B55" w:rsidP="000A4B04">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t>影音</w:t>
            </w:r>
            <w:r w:rsidR="002C1B27" w:rsidRPr="00A41547">
              <w:rPr>
                <w:rFonts w:ascii="微軟正黑體" w:eastAsia="微軟正黑體" w:hAnsi="微軟正黑體" w:hint="eastAsia"/>
                <w:sz w:val="36"/>
              </w:rPr>
              <w:t>媒體通路</w:t>
            </w:r>
            <w:r w:rsidR="004B6B81" w:rsidRPr="00A41547">
              <w:rPr>
                <w:rFonts w:ascii="微軟正黑體" w:eastAsia="微軟正黑體" w:hAnsi="微軟正黑體" w:hint="eastAsia"/>
                <w:sz w:val="36"/>
              </w:rPr>
              <w:t>：</w:t>
            </w:r>
            <w:r w:rsidRPr="00A41547">
              <w:rPr>
                <w:rFonts w:ascii="微軟正黑體" w:eastAsia="微軟正黑體" w:hAnsi="微軟正黑體" w:hint="eastAsia"/>
                <w:sz w:val="28"/>
                <w:szCs w:val="28"/>
              </w:rPr>
              <w:t>網路</w:t>
            </w:r>
            <w:r w:rsidR="00E628DD" w:rsidRPr="00A41547">
              <w:rPr>
                <w:rFonts w:ascii="微軟正黑體" w:eastAsia="微軟正黑體" w:hAnsi="微軟正黑體" w:hint="eastAsia"/>
                <w:sz w:val="28"/>
                <w:szCs w:val="28"/>
              </w:rPr>
              <w:t>短片</w:t>
            </w:r>
            <w:r w:rsidRPr="00A41547">
              <w:rPr>
                <w:rFonts w:ascii="微軟正黑體" w:eastAsia="微軟正黑體" w:hAnsi="微軟正黑體"/>
                <w:sz w:val="28"/>
                <w:szCs w:val="28"/>
              </w:rPr>
              <w:t>、</w:t>
            </w:r>
            <w:r w:rsidR="000A4B04" w:rsidRPr="00A41547">
              <w:rPr>
                <w:rFonts w:ascii="微軟正黑體" w:eastAsia="微軟正黑體" w:hAnsi="微軟正黑體" w:hint="eastAsia"/>
                <w:sz w:val="28"/>
                <w:szCs w:val="28"/>
              </w:rPr>
              <w:t>報紙</w:t>
            </w:r>
            <w:r w:rsidR="000A4B04" w:rsidRPr="00A41547">
              <w:rPr>
                <w:rFonts w:ascii="微軟正黑體" w:eastAsia="微軟正黑體" w:hAnsi="微軟正黑體"/>
                <w:sz w:val="28"/>
                <w:szCs w:val="28"/>
              </w:rPr>
              <w:t>、</w:t>
            </w:r>
            <w:r w:rsidR="000A4B04" w:rsidRPr="00A41547">
              <w:rPr>
                <w:rFonts w:ascii="微軟正黑體" w:eastAsia="微軟正黑體" w:hAnsi="微軟正黑體" w:hint="eastAsia"/>
                <w:sz w:val="28"/>
                <w:szCs w:val="28"/>
              </w:rPr>
              <w:t>雜誌</w:t>
            </w:r>
          </w:p>
        </w:tc>
      </w:tr>
      <w:tr w:rsidR="002C1B27" w:rsidRPr="00A41547" w14:paraId="11211CC9"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27A21C36" w14:textId="28541BB4" w:rsidR="002C1B27" w:rsidRPr="00A41547" w:rsidRDefault="002C1B27" w:rsidP="000A4B04">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t>發表方式：</w:t>
            </w:r>
            <w:r w:rsidR="000A4B04" w:rsidRPr="00A41547">
              <w:rPr>
                <w:rFonts w:ascii="微軟正黑體" w:eastAsia="微軟正黑體" w:hAnsi="微軟正黑體" w:hint="eastAsia"/>
              </w:rPr>
              <w:t xml:space="preserve"> </w:t>
            </w:r>
            <w:proofErr w:type="spellStart"/>
            <w:r w:rsidR="000A4B04" w:rsidRPr="00A41547">
              <w:rPr>
                <w:rFonts w:ascii="微軟正黑體" w:eastAsia="微軟正黑體" w:hAnsi="微軟正黑體" w:hint="eastAsia"/>
                <w:sz w:val="28"/>
                <w:szCs w:val="28"/>
              </w:rPr>
              <w:t>youtube</w:t>
            </w:r>
            <w:proofErr w:type="spellEnd"/>
            <w:r w:rsidR="000A4B04" w:rsidRPr="00A41547">
              <w:rPr>
                <w:rFonts w:ascii="微軟正黑體" w:eastAsia="微軟正黑體" w:hAnsi="微軟正黑體" w:hint="eastAsia"/>
                <w:sz w:val="28"/>
                <w:szCs w:val="28"/>
              </w:rPr>
              <w:t xml:space="preserve"> 及</w:t>
            </w:r>
            <w:r w:rsidR="00E628DD" w:rsidRPr="00A41547">
              <w:rPr>
                <w:rFonts w:ascii="微軟正黑體" w:eastAsia="微軟正黑體" w:hAnsi="微軟正黑體" w:hint="eastAsia"/>
                <w:sz w:val="28"/>
                <w:szCs w:val="28"/>
              </w:rPr>
              <w:t>報章雜誌的</w:t>
            </w:r>
            <w:r w:rsidR="000A4B04" w:rsidRPr="00A41547">
              <w:rPr>
                <w:rFonts w:ascii="微軟正黑體" w:eastAsia="微軟正黑體" w:hAnsi="微軟正黑體" w:hint="eastAsia"/>
                <w:sz w:val="28"/>
                <w:szCs w:val="28"/>
              </w:rPr>
              <w:t>專欄報導</w:t>
            </w:r>
          </w:p>
        </w:tc>
      </w:tr>
      <w:tr w:rsidR="00607251" w:rsidRPr="00A41547" w14:paraId="1E6555B9"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3E5A0457" w14:textId="30BEBADA" w:rsidR="00607251" w:rsidRPr="00A41547" w:rsidRDefault="00607251" w:rsidP="0091604A">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t>科學內涵：</w:t>
            </w:r>
            <w:r w:rsidR="00DF74CE" w:rsidRPr="00A41547">
              <w:rPr>
                <w:rFonts w:ascii="微軟正黑體" w:eastAsia="微軟正黑體" w:hAnsi="微軟正黑體" w:hint="eastAsia"/>
                <w:sz w:val="28"/>
                <w:szCs w:val="28"/>
              </w:rPr>
              <w:t>提出一般市面上矽靈的運用，及對於矽靈傷身與否的迷思。</w:t>
            </w:r>
          </w:p>
        </w:tc>
      </w:tr>
      <w:tr w:rsidR="004B6B81" w:rsidRPr="00A41547" w14:paraId="760C3747" w14:textId="77777777" w:rsidTr="00472CF8">
        <w:trPr>
          <w:cantSplit/>
          <w:trHeight w:val="412"/>
        </w:trPr>
        <w:tc>
          <w:tcPr>
            <w:tcW w:w="9887" w:type="dxa"/>
            <w:tcBorders>
              <w:top w:val="single" w:sz="6" w:space="0" w:color="auto"/>
              <w:left w:val="single" w:sz="6" w:space="0" w:color="auto"/>
              <w:bottom w:val="single" w:sz="6" w:space="0" w:color="auto"/>
              <w:right w:val="single" w:sz="6" w:space="0" w:color="auto"/>
            </w:tcBorders>
          </w:tcPr>
          <w:p w14:paraId="7BBE2AB1" w14:textId="77777777" w:rsidR="00DF74CE" w:rsidRPr="00A41547" w:rsidRDefault="00FE2B55" w:rsidP="00DF74CE">
            <w:pPr>
              <w:pStyle w:val="a5"/>
              <w:numPr>
                <w:ilvl w:val="0"/>
                <w:numId w:val="2"/>
              </w:numPr>
              <w:spacing w:line="360" w:lineRule="auto"/>
              <w:ind w:leftChars="0"/>
              <w:jc w:val="both"/>
              <w:rPr>
                <w:rFonts w:ascii="微軟正黑體" w:eastAsia="微軟正黑體" w:hAnsi="微軟正黑體"/>
              </w:rPr>
            </w:pPr>
            <w:r w:rsidRPr="00A41547">
              <w:rPr>
                <w:rFonts w:ascii="微軟正黑體" w:eastAsia="微軟正黑體" w:hAnsi="微軟正黑體" w:hint="eastAsia"/>
                <w:sz w:val="36"/>
              </w:rPr>
              <w:lastRenderedPageBreak/>
              <w:t>目標</w:t>
            </w:r>
            <w:r w:rsidRPr="00A41547">
              <w:rPr>
                <w:rFonts w:ascii="微軟正黑體" w:eastAsia="微軟正黑體" w:hAnsi="微軟正黑體"/>
                <w:sz w:val="36"/>
              </w:rPr>
              <w:t>閱聽眾</w:t>
            </w:r>
            <w:r w:rsidR="004B6B81" w:rsidRPr="00A41547">
              <w:rPr>
                <w:rFonts w:ascii="微軟正黑體" w:eastAsia="微軟正黑體" w:hAnsi="微軟正黑體" w:hint="eastAsia"/>
                <w:sz w:val="36"/>
              </w:rPr>
              <w:t>：</w:t>
            </w:r>
          </w:p>
          <w:p w14:paraId="3A6026A6" w14:textId="77777777" w:rsidR="00DF74CE" w:rsidRPr="00A41547" w:rsidRDefault="00DF74CE" w:rsidP="00DF74CE">
            <w:pPr>
              <w:rPr>
                <w:rFonts w:ascii="微軟正黑體" w:eastAsia="微軟正黑體" w:hAnsi="微軟正黑體"/>
                <w:sz w:val="28"/>
                <w:szCs w:val="28"/>
              </w:rPr>
            </w:pPr>
            <w:r w:rsidRPr="00A41547">
              <w:rPr>
                <w:rFonts w:ascii="微軟正黑體" w:eastAsia="微軟正黑體" w:hAnsi="微軟正黑體" w:hint="eastAsia"/>
                <w:sz w:val="28"/>
                <w:szCs w:val="28"/>
              </w:rPr>
              <w:t xml:space="preserve">    針對中學年齡以上至中年族群，主要以學生族群和上班族群為主，年齡層分布為13~55歲。</w:t>
            </w:r>
          </w:p>
          <w:p w14:paraId="15B7727E" w14:textId="77777777" w:rsidR="00DF74CE" w:rsidRPr="00A41547" w:rsidRDefault="00DF74CE" w:rsidP="00DF74CE">
            <w:pPr>
              <w:rPr>
                <w:rFonts w:ascii="微軟正黑體" w:eastAsia="微軟正黑體" w:hAnsi="微軟正黑體"/>
                <w:sz w:val="28"/>
                <w:szCs w:val="28"/>
              </w:rPr>
            </w:pPr>
            <w:r w:rsidRPr="00A41547">
              <w:rPr>
                <w:rFonts w:ascii="微軟正黑體" w:eastAsia="微軟正黑體" w:hAnsi="微軟正黑體" w:hint="eastAsia"/>
                <w:sz w:val="28"/>
                <w:szCs w:val="28"/>
              </w:rPr>
              <w:t xml:space="preserve">    學生族群由於待在學校或者補習班的時間較長，再者就幾乎是待在家裡的時間，因此其可獲得的資訊較封閉，與學校或家庭之外的外界接觸大多都是透過電視或者網路媒體。又由於，學生族群長時間接受正規教育的資訊，使用媒體的目的通常都是為了放鬆、使用時間不會太長，且選擇的閱聽內容偏向生活化、娛樂性質居多。因此選擇利用篇幅不長的文字專欄，簡單扼要帶出生活化主題的重點內容，再者選擇製作五分鐘以內的短片，在開放的影片網站上供觀賞，簡單的漫畫式內容與圖畫，提供學生族群輕鬆閱讀觀看的內容。</w:t>
            </w:r>
          </w:p>
          <w:p w14:paraId="3993CC2A" w14:textId="28B6EC6D" w:rsidR="00420903" w:rsidRPr="00A41547" w:rsidRDefault="00DF74CE" w:rsidP="00A41547">
            <w:pPr>
              <w:rPr>
                <w:rFonts w:ascii="微軟正黑體" w:eastAsia="微軟正黑體" w:hAnsi="微軟正黑體" w:hint="eastAsia"/>
                <w:sz w:val="28"/>
                <w:szCs w:val="28"/>
              </w:rPr>
            </w:pPr>
            <w:r w:rsidRPr="00A41547">
              <w:rPr>
                <w:rFonts w:ascii="微軟正黑體" w:eastAsia="微軟正黑體" w:hAnsi="微軟正黑體" w:hint="eastAsia"/>
                <w:sz w:val="28"/>
                <w:szCs w:val="28"/>
              </w:rPr>
              <w:t xml:space="preserve">   </w:t>
            </w:r>
            <w:r w:rsidR="005661A7">
              <w:rPr>
                <w:rFonts w:ascii="微軟正黑體" w:eastAsia="微軟正黑體" w:hAnsi="微軟正黑體" w:hint="eastAsia"/>
                <w:sz w:val="28"/>
                <w:szCs w:val="28"/>
              </w:rPr>
              <w:t xml:space="preserve"> </w:t>
            </w:r>
            <w:r w:rsidRPr="00A41547">
              <w:rPr>
                <w:rFonts w:ascii="微軟正黑體" w:eastAsia="微軟正黑體" w:hAnsi="微軟正黑體" w:hint="eastAsia"/>
                <w:sz w:val="28"/>
                <w:szCs w:val="28"/>
              </w:rPr>
              <w:t>至於上班族甚至中年族群，與學生族群雷同的特點是，他們同樣長時間待在工作上，不會有太長的時間用於吸收外界新訊。又因為工作時間長使得身體和心理兩方面的疲憊，故使用媒體的目的也多是為了紓解壓力而選擇娛樂性質的內容。且由於須照料自己，或者考量家人的健康等方面，上班族和中年族群對於生活相關的議題會比學生族群更加關心。因此利用上班族和中年族群幾乎每天都會閱讀的報紙專欄，小小的篇幅但是卻能傳達完整的生活科學訊息。再者影音方面，漫畫式的插畫方式既使不是小孩子也可以輕易理解，佐以簡短文字訊息，確實將符合主題的內容傳達出來給閱聽眾。</w:t>
            </w:r>
          </w:p>
        </w:tc>
      </w:tr>
      <w:tr w:rsidR="004B6B81" w:rsidRPr="00A41547" w14:paraId="3578A89C" w14:textId="77777777" w:rsidTr="00472CF8">
        <w:trPr>
          <w:cantSplit/>
          <w:trHeight w:val="1705"/>
        </w:trPr>
        <w:tc>
          <w:tcPr>
            <w:tcW w:w="9887" w:type="dxa"/>
            <w:tcBorders>
              <w:top w:val="single" w:sz="6" w:space="0" w:color="auto"/>
              <w:left w:val="single" w:sz="6" w:space="0" w:color="auto"/>
              <w:right w:val="single" w:sz="6" w:space="0" w:color="auto"/>
            </w:tcBorders>
          </w:tcPr>
          <w:p w14:paraId="4054301F" w14:textId="77777777" w:rsidR="00DF74CE" w:rsidRPr="00A41547" w:rsidRDefault="0017454D" w:rsidP="00DF74CE">
            <w:pPr>
              <w:pStyle w:val="a5"/>
              <w:numPr>
                <w:ilvl w:val="0"/>
                <w:numId w:val="2"/>
              </w:numPr>
              <w:spacing w:line="360" w:lineRule="auto"/>
              <w:ind w:leftChars="0"/>
              <w:jc w:val="both"/>
              <w:rPr>
                <w:rFonts w:ascii="微軟正黑體" w:eastAsia="微軟正黑體" w:hAnsi="微軟正黑體"/>
              </w:rPr>
            </w:pPr>
            <w:r w:rsidRPr="00A41547">
              <w:rPr>
                <w:rFonts w:ascii="微軟正黑體" w:eastAsia="微軟正黑體" w:hAnsi="微軟正黑體" w:hint="eastAsia"/>
                <w:sz w:val="36"/>
              </w:rPr>
              <w:lastRenderedPageBreak/>
              <w:t>傳播</w:t>
            </w:r>
            <w:r w:rsidR="001E2BE2" w:rsidRPr="00A41547">
              <w:rPr>
                <w:rFonts w:ascii="微軟正黑體" w:eastAsia="微軟正黑體" w:hAnsi="微軟正黑體" w:hint="eastAsia"/>
                <w:sz w:val="36"/>
              </w:rPr>
              <w:t>(製作)</w:t>
            </w:r>
            <w:r w:rsidR="00420903" w:rsidRPr="00A41547">
              <w:rPr>
                <w:rFonts w:ascii="微軟正黑體" w:eastAsia="微軟正黑體" w:hAnsi="微軟正黑體" w:hint="eastAsia"/>
                <w:sz w:val="36"/>
              </w:rPr>
              <w:t>特色</w:t>
            </w:r>
            <w:r w:rsidR="004B6B81" w:rsidRPr="00A41547">
              <w:rPr>
                <w:rFonts w:ascii="微軟正黑體" w:eastAsia="微軟正黑體" w:hAnsi="微軟正黑體" w:hint="eastAsia"/>
                <w:sz w:val="36"/>
              </w:rPr>
              <w:t>：</w:t>
            </w:r>
          </w:p>
          <w:p w14:paraId="0325C63E" w14:textId="77777777" w:rsidR="00DF74CE" w:rsidRPr="00A41547" w:rsidRDefault="00DF74CE" w:rsidP="00DF74CE">
            <w:pPr>
              <w:rPr>
                <w:rFonts w:ascii="微軟正黑體" w:eastAsia="微軟正黑體" w:hAnsi="微軟正黑體"/>
                <w:sz w:val="28"/>
                <w:szCs w:val="28"/>
              </w:rPr>
            </w:pPr>
            <w:r w:rsidRPr="00A41547">
              <w:rPr>
                <w:rFonts w:ascii="微軟正黑體" w:eastAsia="微軟正黑體" w:hAnsi="微軟正黑體" w:hint="eastAsia"/>
                <w:sz w:val="28"/>
                <w:szCs w:val="28"/>
              </w:rPr>
              <w:t xml:space="preserve">    文字專欄部分，雖然主題是屬於化學化合物，但為求使各個領域、廣泛年齡層的一般大眾皆能輕易理解，因此選擇避開使用偏向專業的化學名詞或結構等等進行解釋，而利用較普通的名詞及語言進行敘述。再者，加上從信任度高的國內外研究網站、學術文章等等整理出資訊，並以大眾化文字進行呈現，既使是非科學專業領域的人員，或者未接觸過此區塊專業知識的民眾也可以從文字即了解我們與呈現的主題內容。另外也以破除迷思的導向進行內容呈現，由於一般民眾對於迷思可能疑惑其可信度，因此已破題方式點出普遍有之的迷思，然後以淺顯易懂的文字進行解釋，並加以條列、表格的表達方法，與帶有艱澀專業名詞的學術文章不同，也不僅僅是長篇贅述的文字，藉此添加活潑、易讀的氛圍。</w:t>
            </w:r>
          </w:p>
          <w:p w14:paraId="001EB7AA" w14:textId="137B414B" w:rsidR="004B6B81" w:rsidRPr="00A41547" w:rsidRDefault="00DF74CE" w:rsidP="00A41547">
            <w:pPr>
              <w:rPr>
                <w:rFonts w:ascii="微軟正黑體" w:eastAsia="微軟正黑體" w:hAnsi="微軟正黑體" w:hint="eastAsia"/>
                <w:sz w:val="28"/>
                <w:szCs w:val="28"/>
              </w:rPr>
            </w:pPr>
            <w:r w:rsidRPr="00A41547">
              <w:rPr>
                <w:rFonts w:ascii="微軟正黑體" w:eastAsia="微軟正黑體" w:hAnsi="微軟正黑體" w:hint="eastAsia"/>
                <w:sz w:val="28"/>
                <w:szCs w:val="28"/>
              </w:rPr>
              <w:t xml:space="preserve">    而影片部分，利用一張張手繪圖，以少量文字搭配線條簡單的圖畫，漫畫式的手法，同樣呈現「點出迷思、破除迷思」的內容。漫畫式方法呈現的優點在於：容易閱讀。除了對於主題進行簡短的文字解釋之外，也利用漫畫人物的互動對話框，增加親民的感覺，且能再進行專業解說之外，增添漫畫式幽默的趣味。拍攝成影片時，佐以活潑的背景音樂，能讓靜態的畫面不那麼單調無味，增加了動態的活潑感。</w:t>
            </w:r>
            <w:r w:rsidRPr="00A41547">
              <w:rPr>
                <w:rFonts w:ascii="微軟正黑體" w:eastAsia="微軟正黑體" w:hAnsi="微軟正黑體"/>
                <w:sz w:val="28"/>
                <w:szCs w:val="28"/>
              </w:rPr>
              <w:t xml:space="preserve"> </w:t>
            </w:r>
          </w:p>
        </w:tc>
      </w:tr>
      <w:tr w:rsidR="0017454D" w:rsidRPr="00A41547" w14:paraId="3DE90FD3" w14:textId="77777777" w:rsidTr="00472CF8">
        <w:trPr>
          <w:cantSplit/>
          <w:trHeight w:val="854"/>
        </w:trPr>
        <w:tc>
          <w:tcPr>
            <w:tcW w:w="9887" w:type="dxa"/>
            <w:tcBorders>
              <w:top w:val="single" w:sz="6" w:space="0" w:color="auto"/>
              <w:left w:val="single" w:sz="6" w:space="0" w:color="auto"/>
              <w:bottom w:val="single" w:sz="6" w:space="0" w:color="auto"/>
              <w:right w:val="single" w:sz="6" w:space="0" w:color="auto"/>
            </w:tcBorders>
          </w:tcPr>
          <w:p w14:paraId="3FD67709" w14:textId="77777777" w:rsidR="0017454D" w:rsidRPr="00A41547" w:rsidRDefault="00892EB2" w:rsidP="00A41547">
            <w:pPr>
              <w:pStyle w:val="a5"/>
              <w:numPr>
                <w:ilvl w:val="0"/>
                <w:numId w:val="2"/>
              </w:numPr>
              <w:spacing w:line="360" w:lineRule="auto"/>
              <w:ind w:leftChars="0"/>
              <w:jc w:val="both"/>
              <w:rPr>
                <w:rFonts w:ascii="微軟正黑體" w:eastAsia="微軟正黑體" w:hAnsi="微軟正黑體" w:hint="eastAsia"/>
                <w:sz w:val="36"/>
              </w:rPr>
            </w:pPr>
            <w:r w:rsidRPr="00A41547">
              <w:rPr>
                <w:rFonts w:ascii="微軟正黑體" w:eastAsia="微軟正黑體" w:hAnsi="微軟正黑體" w:hint="eastAsia"/>
                <w:sz w:val="36"/>
              </w:rPr>
              <w:t>人力安排：</w:t>
            </w:r>
          </w:p>
          <w:p w14:paraId="21A160EC" w14:textId="7A24C6F3" w:rsidR="00A41547" w:rsidRPr="00A41547" w:rsidRDefault="00A41547" w:rsidP="00A41547">
            <w:pPr>
              <w:rPr>
                <w:rFonts w:ascii="微軟正黑體" w:eastAsia="微軟正黑體" w:hAnsi="微軟正黑體"/>
                <w:sz w:val="28"/>
                <w:szCs w:val="28"/>
              </w:rPr>
            </w:pPr>
            <w:r>
              <w:rPr>
                <w:rFonts w:ascii="微軟正黑體" w:eastAsia="微軟正黑體" w:hAnsi="微軟正黑體" w:hint="eastAsia"/>
              </w:rPr>
              <w:t xml:space="preserve">     </w:t>
            </w:r>
            <w:r w:rsidRPr="00A41547">
              <w:rPr>
                <w:rFonts w:ascii="微軟正黑體" w:eastAsia="微軟正黑體" w:hAnsi="微軟正黑體" w:hint="eastAsia"/>
                <w:sz w:val="28"/>
                <w:szCs w:val="28"/>
              </w:rPr>
              <w:t xml:space="preserve">蒐集資料 : </w:t>
            </w:r>
            <w:r w:rsidR="00C47393">
              <w:rPr>
                <w:rFonts w:ascii="微軟正黑體" w:eastAsia="微軟正黑體" w:hAnsi="微軟正黑體" w:hint="eastAsia"/>
                <w:sz w:val="28"/>
                <w:szCs w:val="28"/>
              </w:rPr>
              <w:t>藍</w:t>
            </w:r>
            <w:r w:rsidRPr="00A41547">
              <w:rPr>
                <w:rFonts w:ascii="微軟正黑體" w:eastAsia="微軟正黑體" w:hAnsi="微軟正黑體" w:hint="eastAsia"/>
                <w:sz w:val="28"/>
                <w:szCs w:val="28"/>
              </w:rPr>
              <w:t>允涵、趙子嫣、蔡佩軒、莊民頡</w:t>
            </w:r>
          </w:p>
          <w:p w14:paraId="4710109B" w14:textId="17C5650D" w:rsidR="00A41547" w:rsidRPr="00A41547" w:rsidRDefault="00A41547" w:rsidP="00A41547">
            <w:pPr>
              <w:rPr>
                <w:rFonts w:ascii="微軟正黑體" w:eastAsia="微軟正黑體" w:hAnsi="微軟正黑體"/>
                <w:sz w:val="28"/>
                <w:szCs w:val="28"/>
              </w:rPr>
            </w:pPr>
            <w:r w:rsidRPr="00A41547">
              <w:rPr>
                <w:rFonts w:ascii="微軟正黑體" w:eastAsia="微軟正黑體" w:hAnsi="微軟正黑體" w:hint="eastAsia"/>
                <w:sz w:val="28"/>
                <w:szCs w:val="28"/>
              </w:rPr>
              <w:t xml:space="preserve">    文字稿 : </w:t>
            </w:r>
            <w:r w:rsidR="00C47393">
              <w:rPr>
                <w:rFonts w:ascii="微軟正黑體" w:eastAsia="微軟正黑體" w:hAnsi="微軟正黑體" w:hint="eastAsia"/>
                <w:sz w:val="28"/>
                <w:szCs w:val="28"/>
              </w:rPr>
              <w:t>藍</w:t>
            </w:r>
            <w:bookmarkStart w:id="0" w:name="_GoBack"/>
            <w:bookmarkEnd w:id="0"/>
            <w:r w:rsidRPr="00A41547">
              <w:rPr>
                <w:rFonts w:ascii="微軟正黑體" w:eastAsia="微軟正黑體" w:hAnsi="微軟正黑體" w:hint="eastAsia"/>
                <w:sz w:val="28"/>
                <w:szCs w:val="28"/>
              </w:rPr>
              <w:t>允涵、莊民頡</w:t>
            </w:r>
          </w:p>
          <w:p w14:paraId="70E936D2" w14:textId="743ECFCD" w:rsidR="00A41547" w:rsidRPr="005661A7" w:rsidRDefault="00A41547" w:rsidP="005661A7">
            <w:pPr>
              <w:rPr>
                <w:rFonts w:ascii="微軟正黑體" w:eastAsia="微軟正黑體" w:hAnsi="微軟正黑體" w:hint="eastAsia"/>
                <w:sz w:val="28"/>
                <w:szCs w:val="28"/>
              </w:rPr>
            </w:pPr>
            <w:r w:rsidRPr="00A41547">
              <w:rPr>
                <w:rFonts w:ascii="微軟正黑體" w:eastAsia="微軟正黑體" w:hAnsi="微軟正黑體" w:hint="eastAsia"/>
                <w:sz w:val="28"/>
                <w:szCs w:val="28"/>
              </w:rPr>
              <w:t xml:space="preserve">    影片製作 : 趙子嫣、蔡佩軒</w:t>
            </w:r>
          </w:p>
        </w:tc>
      </w:tr>
      <w:tr w:rsidR="004B6B81" w:rsidRPr="00A41547" w14:paraId="6EFF2B46" w14:textId="77777777" w:rsidTr="00472CF8">
        <w:trPr>
          <w:cantSplit/>
          <w:trHeight w:val="1705"/>
        </w:trPr>
        <w:tc>
          <w:tcPr>
            <w:tcW w:w="9887" w:type="dxa"/>
            <w:tcBorders>
              <w:top w:val="single" w:sz="6" w:space="0" w:color="auto"/>
              <w:left w:val="single" w:sz="6" w:space="0" w:color="auto"/>
              <w:bottom w:val="single" w:sz="6" w:space="0" w:color="auto"/>
              <w:right w:val="single" w:sz="6" w:space="0" w:color="auto"/>
            </w:tcBorders>
          </w:tcPr>
          <w:p w14:paraId="3110DD1B" w14:textId="3516615E" w:rsidR="004B6B81" w:rsidRPr="00A41547" w:rsidRDefault="00892EB2" w:rsidP="00892EB2">
            <w:pPr>
              <w:pStyle w:val="a5"/>
              <w:numPr>
                <w:ilvl w:val="0"/>
                <w:numId w:val="2"/>
              </w:numPr>
              <w:spacing w:line="360" w:lineRule="auto"/>
              <w:ind w:leftChars="0"/>
              <w:jc w:val="both"/>
              <w:rPr>
                <w:rFonts w:ascii="微軟正黑體" w:eastAsia="微軟正黑體" w:hAnsi="微軟正黑體"/>
                <w:sz w:val="36"/>
              </w:rPr>
            </w:pPr>
            <w:r w:rsidRPr="00A41547">
              <w:rPr>
                <w:rFonts w:ascii="微軟正黑體" w:eastAsia="微軟正黑體" w:hAnsi="微軟正黑體" w:hint="eastAsia"/>
                <w:sz w:val="36"/>
              </w:rPr>
              <w:lastRenderedPageBreak/>
              <w:t>置備進度表：</w:t>
            </w:r>
            <w:r w:rsidR="00A41547" w:rsidRPr="00A41547">
              <w:rPr>
                <w:rFonts w:ascii="微軟正黑體" w:eastAsia="微軟正黑體" w:hAnsi="微軟正黑體"/>
                <w:noProof/>
              </w:rPr>
              <w:drawing>
                <wp:inline distT="0" distB="0" distL="0" distR="0" wp14:anchorId="36A21E4D" wp14:editId="047150EF">
                  <wp:extent cx="5486400" cy="2081530"/>
                  <wp:effectExtent l="0" t="0" r="19050" b="1397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4B6B81" w:rsidRPr="00A41547" w14:paraId="2A029A19" w14:textId="7777777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14:paraId="45188645" w14:textId="77777777" w:rsidR="00C4340B" w:rsidRPr="00C4340B" w:rsidRDefault="00BC1619" w:rsidP="00DF74CE">
            <w:pPr>
              <w:pStyle w:val="a5"/>
              <w:numPr>
                <w:ilvl w:val="0"/>
                <w:numId w:val="2"/>
              </w:numPr>
              <w:spacing w:line="360" w:lineRule="auto"/>
              <w:ind w:leftChars="0"/>
              <w:jc w:val="both"/>
              <w:rPr>
                <w:rFonts w:ascii="微軟正黑體" w:eastAsia="微軟正黑體" w:hAnsi="微軟正黑體" w:hint="eastAsia"/>
              </w:rPr>
            </w:pPr>
            <w:r w:rsidRPr="00A41547">
              <w:rPr>
                <w:rFonts w:ascii="微軟正黑體" w:eastAsia="微軟正黑體" w:hAnsi="微軟正黑體"/>
                <w:sz w:val="36"/>
              </w:rPr>
              <w:t>預期成效</w:t>
            </w:r>
            <w:r w:rsidR="004B6B81" w:rsidRPr="00A41547">
              <w:rPr>
                <w:rFonts w:ascii="微軟正黑體" w:eastAsia="微軟正黑體" w:hAnsi="微軟正黑體" w:hint="eastAsia"/>
                <w:sz w:val="36"/>
              </w:rPr>
              <w:t>：</w:t>
            </w:r>
          </w:p>
          <w:p w14:paraId="463AB7D4" w14:textId="01DE055C" w:rsidR="00DF74CE" w:rsidRPr="00C4340B" w:rsidRDefault="00C4340B" w:rsidP="00C4340B">
            <w:pPr>
              <w:spacing w:line="360" w:lineRule="auto"/>
              <w:jc w:val="both"/>
              <w:rPr>
                <w:rFonts w:ascii="微軟正黑體" w:eastAsia="微軟正黑體" w:hAnsi="微軟正黑體"/>
              </w:rPr>
            </w:pPr>
            <w:r>
              <w:rPr>
                <w:rFonts w:ascii="微軟正黑體" w:eastAsia="微軟正黑體" w:hAnsi="微軟正黑體" w:hint="eastAsia"/>
                <w:sz w:val="28"/>
                <w:szCs w:val="28"/>
              </w:rPr>
              <w:t xml:space="preserve">    </w:t>
            </w:r>
            <w:r w:rsidR="00DF74CE" w:rsidRPr="00C4340B">
              <w:rPr>
                <w:rFonts w:ascii="微軟正黑體" w:eastAsia="微軟正黑體" w:hAnsi="微軟正黑體"/>
                <w:sz w:val="28"/>
                <w:szCs w:val="28"/>
              </w:rPr>
              <w:t>1.</w:t>
            </w:r>
            <w:r w:rsidR="00DF74CE" w:rsidRPr="00C4340B">
              <w:rPr>
                <w:rFonts w:ascii="微軟正黑體" w:eastAsia="微軟正黑體" w:hAnsi="微軟正黑體" w:hint="eastAsia"/>
                <w:sz w:val="28"/>
                <w:szCs w:val="28"/>
              </w:rPr>
              <w:t xml:space="preserve"> 以清楚簡易的漫畫影片方式呈現，下至國小兒童上至成人皆能輕易掌握所欲表達之內容。</w:t>
            </w:r>
          </w:p>
          <w:p w14:paraId="55AB259E" w14:textId="6B01945B" w:rsidR="00DF74CE" w:rsidRPr="00A41547" w:rsidRDefault="00C4340B" w:rsidP="00C4340B">
            <w:pPr>
              <w:spacing w:line="360" w:lineRule="auto"/>
              <w:jc w:val="both"/>
              <w:rPr>
                <w:rFonts w:ascii="微軟正黑體" w:eastAsia="微軟正黑體" w:hAnsi="微軟正黑體"/>
                <w:sz w:val="28"/>
                <w:szCs w:val="28"/>
              </w:rPr>
            </w:pPr>
            <w:r>
              <w:rPr>
                <w:rFonts w:ascii="微軟正黑體" w:eastAsia="微軟正黑體" w:hAnsi="微軟正黑體" w:hint="eastAsia"/>
                <w:sz w:val="28"/>
                <w:szCs w:val="28"/>
              </w:rPr>
              <w:t xml:space="preserve">    </w:t>
            </w:r>
            <w:r w:rsidR="00DF74CE" w:rsidRPr="00A41547">
              <w:rPr>
                <w:rFonts w:ascii="微軟正黑體" w:eastAsia="微軟正黑體" w:hAnsi="微軟正黑體"/>
                <w:sz w:val="28"/>
                <w:szCs w:val="28"/>
              </w:rPr>
              <w:t>2.</w:t>
            </w:r>
            <w:r w:rsidR="00DF74CE" w:rsidRPr="00A41547">
              <w:rPr>
                <w:rFonts w:ascii="微軟正黑體" w:eastAsia="微軟正黑體" w:hAnsi="微軟正黑體" w:hint="eastAsia"/>
                <w:sz w:val="28"/>
                <w:szCs w:val="28"/>
              </w:rPr>
              <w:t xml:space="preserve"> 目前網路的普及率已高至飽和值，且</w:t>
            </w:r>
            <w:proofErr w:type="spellStart"/>
            <w:r w:rsidR="00DF74CE" w:rsidRPr="00A41547">
              <w:rPr>
                <w:rFonts w:ascii="微軟正黑體" w:eastAsia="微軟正黑體" w:hAnsi="微軟正黑體"/>
                <w:sz w:val="28"/>
                <w:szCs w:val="28"/>
              </w:rPr>
              <w:t>youtube</w:t>
            </w:r>
            <w:proofErr w:type="spellEnd"/>
            <w:r w:rsidR="00DF74CE" w:rsidRPr="00A41547">
              <w:rPr>
                <w:rFonts w:ascii="微軟正黑體" w:eastAsia="微軟正黑體" w:hAnsi="微軟正黑體" w:hint="eastAsia"/>
                <w:sz w:val="28"/>
                <w:szCs w:val="28"/>
              </w:rPr>
              <w:t>的瀏覽人次幾乎等同于有在使用網路者之人次，因此廣播率將大量提升。</w:t>
            </w:r>
          </w:p>
          <w:p w14:paraId="662EBC81" w14:textId="778F01FD" w:rsidR="00892EB2" w:rsidRPr="00A41547" w:rsidRDefault="00C4340B" w:rsidP="00C4340B">
            <w:pPr>
              <w:spacing w:line="360" w:lineRule="auto"/>
              <w:jc w:val="both"/>
              <w:rPr>
                <w:rFonts w:ascii="微軟正黑體" w:eastAsia="微軟正黑體" w:hAnsi="微軟正黑體"/>
              </w:rPr>
            </w:pPr>
            <w:r>
              <w:rPr>
                <w:rFonts w:ascii="微軟正黑體" w:eastAsia="微軟正黑體" w:hAnsi="微軟正黑體" w:hint="eastAsia"/>
                <w:sz w:val="28"/>
                <w:szCs w:val="28"/>
              </w:rPr>
              <w:t xml:space="preserve">    </w:t>
            </w:r>
            <w:r w:rsidR="00DF74CE" w:rsidRPr="00A41547">
              <w:rPr>
                <w:rFonts w:ascii="微軟正黑體" w:eastAsia="微軟正黑體" w:hAnsi="微軟正黑體"/>
                <w:sz w:val="28"/>
                <w:szCs w:val="28"/>
              </w:rPr>
              <w:t>3.</w:t>
            </w:r>
            <w:r w:rsidR="00DF74CE" w:rsidRPr="00A41547">
              <w:rPr>
                <w:rFonts w:ascii="微軟正黑體" w:eastAsia="微軟正黑體" w:hAnsi="微軟正黑體" w:hint="eastAsia"/>
                <w:sz w:val="28"/>
                <w:szCs w:val="28"/>
              </w:rPr>
              <w:t xml:space="preserve"> 觀眾得以從影片中獲得有關矽靈之普遍運用方式之知識，以及破除在使用上可能會產生的疑慮。</w:t>
            </w:r>
          </w:p>
        </w:tc>
      </w:tr>
      <w:tr w:rsidR="00892EB2" w:rsidRPr="00A41547" w14:paraId="33E91864" w14:textId="77777777" w:rsidTr="00472CF8">
        <w:trPr>
          <w:cantSplit/>
          <w:trHeight w:val="1332"/>
        </w:trPr>
        <w:tc>
          <w:tcPr>
            <w:tcW w:w="9887" w:type="dxa"/>
            <w:tcBorders>
              <w:top w:val="single" w:sz="6" w:space="0" w:color="auto"/>
              <w:left w:val="single" w:sz="6" w:space="0" w:color="auto"/>
              <w:bottom w:val="single" w:sz="6" w:space="0" w:color="auto"/>
              <w:right w:val="single" w:sz="6" w:space="0" w:color="auto"/>
            </w:tcBorders>
          </w:tcPr>
          <w:p w14:paraId="04556DF3" w14:textId="77777777" w:rsidR="00A41547" w:rsidRPr="00A41547" w:rsidRDefault="00892EB2" w:rsidP="00A41547">
            <w:pPr>
              <w:pStyle w:val="a5"/>
              <w:numPr>
                <w:ilvl w:val="0"/>
                <w:numId w:val="2"/>
              </w:numPr>
              <w:ind w:leftChars="0"/>
              <w:rPr>
                <w:rFonts w:ascii="微軟正黑體" w:eastAsia="微軟正黑體" w:hAnsi="微軟正黑體" w:hint="eastAsia"/>
                <w:sz w:val="36"/>
              </w:rPr>
            </w:pPr>
            <w:r w:rsidRPr="00A41547">
              <w:rPr>
                <w:rFonts w:ascii="微軟正黑體" w:eastAsia="微軟正黑體" w:hAnsi="微軟正黑體" w:hint="eastAsia"/>
                <w:sz w:val="36"/>
              </w:rPr>
              <w:t>經費概算：</w:t>
            </w:r>
          </w:p>
          <w:p w14:paraId="40DE86E0" w14:textId="63178EC2" w:rsidR="00892EB2" w:rsidRPr="005661A7" w:rsidRDefault="00A41547" w:rsidP="005661A7">
            <w:pPr>
              <w:rPr>
                <w:rFonts w:ascii="微軟正黑體" w:eastAsia="微軟正黑體" w:hAnsi="微軟正黑體" w:hint="eastAsia"/>
                <w:sz w:val="28"/>
                <w:szCs w:val="28"/>
              </w:rPr>
            </w:pPr>
            <w:r w:rsidRPr="00A41547">
              <w:rPr>
                <w:rFonts w:ascii="微軟正黑體" w:eastAsia="微軟正黑體" w:hAnsi="微軟正黑體" w:hint="eastAsia"/>
              </w:rPr>
              <w:t xml:space="preserve"> </w:t>
            </w:r>
            <w:r w:rsidRPr="00C4340B">
              <w:rPr>
                <w:rFonts w:ascii="微軟正黑體" w:eastAsia="微軟正黑體" w:hAnsi="微軟正黑體" w:hint="eastAsia"/>
                <w:sz w:val="28"/>
                <w:szCs w:val="28"/>
              </w:rPr>
              <w:t xml:space="preserve"> </w:t>
            </w:r>
            <w:r w:rsidR="00C4340B">
              <w:rPr>
                <w:rFonts w:ascii="微軟正黑體" w:eastAsia="微軟正黑體" w:hAnsi="微軟正黑體" w:hint="eastAsia"/>
                <w:sz w:val="28"/>
                <w:szCs w:val="28"/>
              </w:rPr>
              <w:t xml:space="preserve">  </w:t>
            </w:r>
            <w:r w:rsidRPr="00C4340B">
              <w:rPr>
                <w:rFonts w:ascii="微軟正黑體" w:eastAsia="微軟正黑體" w:hAnsi="微軟正黑體" w:hint="eastAsia"/>
                <w:sz w:val="28"/>
                <w:szCs w:val="28"/>
              </w:rPr>
              <w:t>此次製作影片皆以手繪的圖表為內容，並無使用任何經費。</w:t>
            </w:r>
          </w:p>
        </w:tc>
      </w:tr>
    </w:tbl>
    <w:p w14:paraId="10598614" w14:textId="77777777" w:rsidR="004B6B81" w:rsidRPr="00A41547" w:rsidRDefault="004B6B81" w:rsidP="009C3F87">
      <w:pPr>
        <w:spacing w:line="360" w:lineRule="auto"/>
        <w:rPr>
          <w:rFonts w:ascii="微軟正黑體" w:eastAsia="微軟正黑體" w:hAnsi="微軟正黑體"/>
        </w:rPr>
      </w:pPr>
    </w:p>
    <w:sectPr w:rsidR="004B6B81" w:rsidRPr="00A41547" w:rsidSect="009C3F87">
      <w:pgSz w:w="11906" w:h="16838"/>
      <w:pgMar w:top="568" w:right="991" w:bottom="851" w:left="1134"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C1ECFE" w14:textId="77777777" w:rsidR="00A41547" w:rsidRDefault="00A41547" w:rsidP="002C1B27">
      <w:r>
        <w:separator/>
      </w:r>
    </w:p>
  </w:endnote>
  <w:endnote w:type="continuationSeparator" w:id="0">
    <w:p w14:paraId="10519222" w14:textId="77777777" w:rsidR="00A41547" w:rsidRDefault="00A41547" w:rsidP="002C1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新細明體">
    <w:panose1 w:val="02020500000000000000"/>
    <w:charset w:val="51"/>
    <w:family w:val="auto"/>
    <w:pitch w:val="variable"/>
    <w:sig w:usb0="A00002FF" w:usb1="28CFFCFA" w:usb2="00000016" w:usb3="00000000" w:csb0="00100001" w:csb1="00000000"/>
  </w:font>
  <w:font w:name="Heiti TC Light">
    <w:panose1 w:val="02000000000000000000"/>
    <w:charset w:val="51"/>
    <w:family w:val="auto"/>
    <w:pitch w:val="variable"/>
    <w:sig w:usb0="8000002F" w:usb1="0808004A" w:usb2="00000010" w:usb3="00000000" w:csb0="00100000" w:csb1="00000000"/>
  </w:font>
  <w:font w:name="微軟正黑體">
    <w:panose1 w:val="020B0604030504040204"/>
    <w:charset w:val="51"/>
    <w:family w:val="auto"/>
    <w:pitch w:val="variable"/>
    <w:sig w:usb0="00000087" w:usb1="288F4000" w:usb2="00000016" w:usb3="00000000" w:csb0="00100009"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796742" w14:textId="77777777" w:rsidR="00A41547" w:rsidRDefault="00A41547" w:rsidP="002C1B27">
      <w:r>
        <w:separator/>
      </w:r>
    </w:p>
  </w:footnote>
  <w:footnote w:type="continuationSeparator" w:id="0">
    <w:p w14:paraId="6C3DC48A" w14:textId="77777777" w:rsidR="00A41547" w:rsidRDefault="00A41547" w:rsidP="002C1B2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4128B"/>
    <w:multiLevelType w:val="hybridMultilevel"/>
    <w:tmpl w:val="2C9807A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653A3A25"/>
    <w:multiLevelType w:val="hybridMultilevel"/>
    <w:tmpl w:val="A91E81A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F00078E"/>
    <w:multiLevelType w:val="hybridMultilevel"/>
    <w:tmpl w:val="BA200942"/>
    <w:lvl w:ilvl="0" w:tplc="A2D2F8CC">
      <w:start w:val="1"/>
      <w:numFmt w:val="taiwaneseCountingThousand"/>
      <w:lvlText w:val="%1、"/>
      <w:lvlJc w:val="left"/>
      <w:pPr>
        <w:ind w:left="480" w:hanging="480"/>
      </w:pPr>
      <w:rPr>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B81"/>
    <w:rsid w:val="00057A72"/>
    <w:rsid w:val="0009110D"/>
    <w:rsid w:val="000A4B04"/>
    <w:rsid w:val="0017454D"/>
    <w:rsid w:val="001E2BE2"/>
    <w:rsid w:val="002C1B27"/>
    <w:rsid w:val="00316AC3"/>
    <w:rsid w:val="003B654F"/>
    <w:rsid w:val="00420903"/>
    <w:rsid w:val="00472CF8"/>
    <w:rsid w:val="004B6B81"/>
    <w:rsid w:val="005328B6"/>
    <w:rsid w:val="00560F2C"/>
    <w:rsid w:val="005661A7"/>
    <w:rsid w:val="00607251"/>
    <w:rsid w:val="0075336C"/>
    <w:rsid w:val="00892EB2"/>
    <w:rsid w:val="008D3800"/>
    <w:rsid w:val="0091604A"/>
    <w:rsid w:val="00987204"/>
    <w:rsid w:val="009C3F87"/>
    <w:rsid w:val="00A41547"/>
    <w:rsid w:val="00BC1619"/>
    <w:rsid w:val="00C343FF"/>
    <w:rsid w:val="00C4340B"/>
    <w:rsid w:val="00C47393"/>
    <w:rsid w:val="00DF74CE"/>
    <w:rsid w:val="00E628DD"/>
    <w:rsid w:val="00EE674B"/>
    <w:rsid w:val="00F215EE"/>
    <w:rsid w:val="00FD358A"/>
    <w:rsid w:val="00FE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298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B27"/>
    <w:pPr>
      <w:tabs>
        <w:tab w:val="center" w:pos="4153"/>
        <w:tab w:val="right" w:pos="8306"/>
      </w:tabs>
      <w:snapToGrid w:val="0"/>
    </w:pPr>
    <w:rPr>
      <w:sz w:val="20"/>
      <w:szCs w:val="20"/>
    </w:rPr>
  </w:style>
  <w:style w:type="character" w:customStyle="1" w:styleId="Char">
    <w:name w:val="頁首 Char"/>
    <w:basedOn w:val="a0"/>
    <w:link w:val="a3"/>
    <w:rsid w:val="002C1B27"/>
    <w:rPr>
      <w:kern w:val="2"/>
    </w:rPr>
  </w:style>
  <w:style w:type="paragraph" w:styleId="a4">
    <w:name w:val="footer"/>
    <w:basedOn w:val="a"/>
    <w:link w:val="Char0"/>
    <w:rsid w:val="002C1B27"/>
    <w:pPr>
      <w:tabs>
        <w:tab w:val="center" w:pos="4153"/>
        <w:tab w:val="right" w:pos="8306"/>
      </w:tabs>
      <w:snapToGrid w:val="0"/>
    </w:pPr>
    <w:rPr>
      <w:sz w:val="20"/>
      <w:szCs w:val="20"/>
    </w:rPr>
  </w:style>
  <w:style w:type="character" w:customStyle="1" w:styleId="Char0">
    <w:name w:val="頁尾 Char"/>
    <w:basedOn w:val="a0"/>
    <w:link w:val="a4"/>
    <w:rsid w:val="002C1B27"/>
    <w:rPr>
      <w:kern w:val="2"/>
    </w:rPr>
  </w:style>
  <w:style w:type="paragraph" w:styleId="a5">
    <w:name w:val="List Paragraph"/>
    <w:basedOn w:val="a"/>
    <w:uiPriority w:val="34"/>
    <w:qFormat/>
    <w:rsid w:val="0091604A"/>
    <w:pPr>
      <w:ind w:leftChars="200" w:left="480"/>
    </w:pPr>
  </w:style>
  <w:style w:type="paragraph" w:styleId="a6">
    <w:name w:val="Balloon Text"/>
    <w:basedOn w:val="a"/>
    <w:link w:val="Char1"/>
    <w:semiHidden/>
    <w:unhideWhenUsed/>
    <w:rsid w:val="00A41547"/>
    <w:rPr>
      <w:rFonts w:ascii="Heiti TC Light" w:eastAsia="Heiti TC Light"/>
      <w:sz w:val="18"/>
      <w:szCs w:val="18"/>
    </w:rPr>
  </w:style>
  <w:style w:type="character" w:customStyle="1" w:styleId="Char1">
    <w:name w:val="註解方塊文字 Char"/>
    <w:basedOn w:val="a0"/>
    <w:link w:val="a6"/>
    <w:semiHidden/>
    <w:rsid w:val="00A41547"/>
    <w:rPr>
      <w:rFonts w:ascii="Heiti TC Light" w:eastAsia="Heiti TC Light"/>
      <w:kern w:val="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B8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C1B27"/>
    <w:pPr>
      <w:tabs>
        <w:tab w:val="center" w:pos="4153"/>
        <w:tab w:val="right" w:pos="8306"/>
      </w:tabs>
      <w:snapToGrid w:val="0"/>
    </w:pPr>
    <w:rPr>
      <w:sz w:val="20"/>
      <w:szCs w:val="20"/>
    </w:rPr>
  </w:style>
  <w:style w:type="character" w:customStyle="1" w:styleId="Char">
    <w:name w:val="頁首 Char"/>
    <w:basedOn w:val="a0"/>
    <w:link w:val="a3"/>
    <w:rsid w:val="002C1B27"/>
    <w:rPr>
      <w:kern w:val="2"/>
    </w:rPr>
  </w:style>
  <w:style w:type="paragraph" w:styleId="a4">
    <w:name w:val="footer"/>
    <w:basedOn w:val="a"/>
    <w:link w:val="Char0"/>
    <w:rsid w:val="002C1B27"/>
    <w:pPr>
      <w:tabs>
        <w:tab w:val="center" w:pos="4153"/>
        <w:tab w:val="right" w:pos="8306"/>
      </w:tabs>
      <w:snapToGrid w:val="0"/>
    </w:pPr>
    <w:rPr>
      <w:sz w:val="20"/>
      <w:szCs w:val="20"/>
    </w:rPr>
  </w:style>
  <w:style w:type="character" w:customStyle="1" w:styleId="Char0">
    <w:name w:val="頁尾 Char"/>
    <w:basedOn w:val="a0"/>
    <w:link w:val="a4"/>
    <w:rsid w:val="002C1B27"/>
    <w:rPr>
      <w:kern w:val="2"/>
    </w:rPr>
  </w:style>
  <w:style w:type="paragraph" w:styleId="a5">
    <w:name w:val="List Paragraph"/>
    <w:basedOn w:val="a"/>
    <w:uiPriority w:val="34"/>
    <w:qFormat/>
    <w:rsid w:val="0091604A"/>
    <w:pPr>
      <w:ind w:leftChars="200" w:left="480"/>
    </w:pPr>
  </w:style>
  <w:style w:type="paragraph" w:styleId="a6">
    <w:name w:val="Balloon Text"/>
    <w:basedOn w:val="a"/>
    <w:link w:val="Char1"/>
    <w:semiHidden/>
    <w:unhideWhenUsed/>
    <w:rsid w:val="00A41547"/>
    <w:rPr>
      <w:rFonts w:ascii="Heiti TC Light" w:eastAsia="Heiti TC Light"/>
      <w:sz w:val="18"/>
      <w:szCs w:val="18"/>
    </w:rPr>
  </w:style>
  <w:style w:type="character" w:customStyle="1" w:styleId="Char1">
    <w:name w:val="註解方塊文字 Char"/>
    <w:basedOn w:val="a0"/>
    <w:link w:val="a6"/>
    <w:semiHidden/>
    <w:rsid w:val="00A41547"/>
    <w:rPr>
      <w:rFonts w:ascii="Heiti TC Light" w:eastAsia="Heiti TC Ligh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528638">
      <w:bodyDiv w:val="1"/>
      <w:marLeft w:val="0"/>
      <w:marRight w:val="0"/>
      <w:marTop w:val="0"/>
      <w:marBottom w:val="0"/>
      <w:divBdr>
        <w:top w:val="none" w:sz="0" w:space="0" w:color="auto"/>
        <w:left w:val="none" w:sz="0" w:space="0" w:color="auto"/>
        <w:bottom w:val="none" w:sz="0" w:space="0" w:color="auto"/>
        <w:right w:val="none" w:sz="0" w:space="0" w:color="auto"/>
      </w:divBdr>
    </w:div>
    <w:div w:id="1573076507">
      <w:bodyDiv w:val="1"/>
      <w:marLeft w:val="0"/>
      <w:marRight w:val="0"/>
      <w:marTop w:val="0"/>
      <w:marBottom w:val="0"/>
      <w:divBdr>
        <w:top w:val="none" w:sz="0" w:space="0" w:color="auto"/>
        <w:left w:val="none" w:sz="0" w:space="0" w:color="auto"/>
        <w:bottom w:val="none" w:sz="0" w:space="0" w:color="auto"/>
        <w:right w:val="none" w:sz="0" w:space="0" w:color="auto"/>
      </w:divBdr>
      <w:divsChild>
        <w:div w:id="852037699">
          <w:marLeft w:val="133"/>
          <w:marRight w:val="0"/>
          <w:marTop w:val="133"/>
          <w:marBottom w:val="0"/>
          <w:divBdr>
            <w:top w:val="none" w:sz="0" w:space="0" w:color="auto"/>
            <w:left w:val="none" w:sz="0" w:space="0" w:color="auto"/>
            <w:bottom w:val="none" w:sz="0" w:space="0" w:color="auto"/>
            <w:right w:val="none" w:sz="0" w:space="0" w:color="auto"/>
          </w:divBdr>
          <w:divsChild>
            <w:div w:id="1822958946">
              <w:marLeft w:val="0"/>
              <w:marRight w:val="0"/>
              <w:marTop w:val="0"/>
              <w:marBottom w:val="0"/>
              <w:divBdr>
                <w:top w:val="none" w:sz="0" w:space="0" w:color="auto"/>
                <w:left w:val="none" w:sz="0" w:space="0" w:color="auto"/>
                <w:bottom w:val="none" w:sz="0" w:space="0" w:color="auto"/>
                <w:right w:val="none" w:sz="0" w:space="0" w:color="auto"/>
              </w:divBdr>
              <w:divsChild>
                <w:div w:id="5704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39270">
      <w:bodyDiv w:val="1"/>
      <w:marLeft w:val="0"/>
      <w:marRight w:val="0"/>
      <w:marTop w:val="0"/>
      <w:marBottom w:val="0"/>
      <w:divBdr>
        <w:top w:val="none" w:sz="0" w:space="0" w:color="auto"/>
        <w:left w:val="none" w:sz="0" w:space="0" w:color="auto"/>
        <w:bottom w:val="none" w:sz="0" w:space="0" w:color="auto"/>
        <w:right w:val="none" w:sz="0" w:space="0" w:color="auto"/>
      </w:divBdr>
      <w:divsChild>
        <w:div w:id="126901571">
          <w:marLeft w:val="133"/>
          <w:marRight w:val="0"/>
          <w:marTop w:val="133"/>
          <w:marBottom w:val="0"/>
          <w:divBdr>
            <w:top w:val="none" w:sz="0" w:space="0" w:color="auto"/>
            <w:left w:val="none" w:sz="0" w:space="0" w:color="auto"/>
            <w:bottom w:val="none" w:sz="0" w:space="0" w:color="auto"/>
            <w:right w:val="none" w:sz="0" w:space="0" w:color="auto"/>
          </w:divBdr>
          <w:divsChild>
            <w:div w:id="1562016096">
              <w:marLeft w:val="0"/>
              <w:marRight w:val="0"/>
              <w:marTop w:val="0"/>
              <w:marBottom w:val="0"/>
              <w:divBdr>
                <w:top w:val="none" w:sz="0" w:space="0" w:color="auto"/>
                <w:left w:val="none" w:sz="0" w:space="0" w:color="auto"/>
                <w:bottom w:val="none" w:sz="0" w:space="0" w:color="auto"/>
                <w:right w:val="none" w:sz="0" w:space="0" w:color="auto"/>
              </w:divBdr>
              <w:divsChild>
                <w:div w:id="1269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684581">
      <w:bodyDiv w:val="1"/>
      <w:marLeft w:val="0"/>
      <w:marRight w:val="0"/>
      <w:marTop w:val="0"/>
      <w:marBottom w:val="0"/>
      <w:divBdr>
        <w:top w:val="none" w:sz="0" w:space="0" w:color="auto"/>
        <w:left w:val="none" w:sz="0" w:space="0" w:color="auto"/>
        <w:bottom w:val="none" w:sz="0" w:space="0" w:color="auto"/>
        <w:right w:val="none" w:sz="0" w:space="0" w:color="auto"/>
      </w:divBdr>
      <w:divsChild>
        <w:div w:id="1856528407">
          <w:marLeft w:val="133"/>
          <w:marRight w:val="0"/>
          <w:marTop w:val="133"/>
          <w:marBottom w:val="0"/>
          <w:divBdr>
            <w:top w:val="none" w:sz="0" w:space="0" w:color="auto"/>
            <w:left w:val="none" w:sz="0" w:space="0" w:color="auto"/>
            <w:bottom w:val="none" w:sz="0" w:space="0" w:color="auto"/>
            <w:right w:val="none" w:sz="0" w:space="0" w:color="auto"/>
          </w:divBdr>
          <w:divsChild>
            <w:div w:id="1378239385">
              <w:marLeft w:val="0"/>
              <w:marRight w:val="0"/>
              <w:marTop w:val="0"/>
              <w:marBottom w:val="0"/>
              <w:divBdr>
                <w:top w:val="none" w:sz="0" w:space="0" w:color="auto"/>
                <w:left w:val="none" w:sz="0" w:space="0" w:color="auto"/>
                <w:bottom w:val="none" w:sz="0" w:space="0" w:color="auto"/>
                <w:right w:val="none" w:sz="0" w:space="0" w:color="auto"/>
              </w:divBdr>
              <w:divsChild>
                <w:div w:id="16127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hart" Target="charts/chart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zh-TW" altLang="en-US"/>
              <a:t>置備進度表</a:t>
            </a:r>
          </a:p>
        </c:rich>
      </c:tx>
      <c:layout/>
      <c:overlay val="0"/>
    </c:title>
    <c:autoTitleDeleted val="0"/>
    <c:plotArea>
      <c:layout/>
      <c:barChart>
        <c:barDir val="bar"/>
        <c:grouping val="stacked"/>
        <c:varyColors val="0"/>
        <c:ser>
          <c:idx val="0"/>
          <c:order val="0"/>
          <c:tx>
            <c:v>開始日</c:v>
          </c:tx>
          <c:spPr>
            <a:noFill/>
            <a:ln>
              <a:noFill/>
            </a:ln>
          </c:spPr>
          <c:invertIfNegative val="0"/>
          <c:cat>
            <c:strRef>
              <c:f>工作表1!$D$5:$D$10</c:f>
              <c:strCache>
                <c:ptCount val="6"/>
                <c:pt idx="0">
                  <c:v>規劃</c:v>
                </c:pt>
                <c:pt idx="1">
                  <c:v>蒐集資料</c:v>
                </c:pt>
                <c:pt idx="2">
                  <c:v>文字稿</c:v>
                </c:pt>
                <c:pt idx="3">
                  <c:v>訪談</c:v>
                </c:pt>
                <c:pt idx="4">
                  <c:v>拍攝</c:v>
                </c:pt>
                <c:pt idx="5">
                  <c:v>後製</c:v>
                </c:pt>
              </c:strCache>
            </c:strRef>
          </c:cat>
          <c:val>
            <c:numRef>
              <c:f>工作表1!$E$5:$E$10</c:f>
              <c:numCache>
                <c:formatCode>m"月"d"日"</c:formatCode>
                <c:ptCount val="6"/>
                <c:pt idx="0">
                  <c:v>41584.0</c:v>
                </c:pt>
                <c:pt idx="1">
                  <c:v>41603.0</c:v>
                </c:pt>
                <c:pt idx="2">
                  <c:v>41612.0</c:v>
                </c:pt>
                <c:pt idx="4">
                  <c:v>41612.0</c:v>
                </c:pt>
                <c:pt idx="5">
                  <c:v>41612.0</c:v>
                </c:pt>
              </c:numCache>
            </c:numRef>
          </c:val>
        </c:ser>
        <c:ser>
          <c:idx val="1"/>
          <c:order val="1"/>
          <c:tx>
            <c:v>工作天數</c:v>
          </c:tx>
          <c:invertIfNegative val="0"/>
          <c:dLbls>
            <c:dLblPos val="inEnd"/>
            <c:showLegendKey val="0"/>
            <c:showVal val="1"/>
            <c:showCatName val="0"/>
            <c:showSerName val="0"/>
            <c:showPercent val="0"/>
            <c:showBubbleSize val="0"/>
            <c:showLeaderLines val="0"/>
          </c:dLbls>
          <c:cat>
            <c:strRef>
              <c:f>工作表1!$D$5:$D$10</c:f>
              <c:strCache>
                <c:ptCount val="6"/>
                <c:pt idx="0">
                  <c:v>規劃</c:v>
                </c:pt>
                <c:pt idx="1">
                  <c:v>蒐集資料</c:v>
                </c:pt>
                <c:pt idx="2">
                  <c:v>文字稿</c:v>
                </c:pt>
                <c:pt idx="3">
                  <c:v>訪談</c:v>
                </c:pt>
                <c:pt idx="4">
                  <c:v>拍攝</c:v>
                </c:pt>
                <c:pt idx="5">
                  <c:v>後製</c:v>
                </c:pt>
              </c:strCache>
            </c:strRef>
          </c:cat>
          <c:val>
            <c:numRef>
              <c:f>工作表1!$F$5:$F$10</c:f>
              <c:numCache>
                <c:formatCode>General</c:formatCode>
                <c:ptCount val="6"/>
                <c:pt idx="0">
                  <c:v>27.0</c:v>
                </c:pt>
                <c:pt idx="1">
                  <c:v>15.0</c:v>
                </c:pt>
                <c:pt idx="2">
                  <c:v>7.0</c:v>
                </c:pt>
                <c:pt idx="4">
                  <c:v>7.0</c:v>
                </c:pt>
                <c:pt idx="5">
                  <c:v>7.0</c:v>
                </c:pt>
              </c:numCache>
            </c:numRef>
          </c:val>
        </c:ser>
        <c:dLbls>
          <c:showLegendKey val="0"/>
          <c:showVal val="0"/>
          <c:showCatName val="0"/>
          <c:showSerName val="0"/>
          <c:showPercent val="0"/>
          <c:showBubbleSize val="0"/>
        </c:dLbls>
        <c:gapWidth val="300"/>
        <c:axId val="2137957864"/>
        <c:axId val="2137960840"/>
      </c:barChart>
      <c:catAx>
        <c:axId val="2137957864"/>
        <c:scaling>
          <c:orientation val="maxMin"/>
        </c:scaling>
        <c:delete val="0"/>
        <c:axPos val="l"/>
        <c:majorTickMark val="none"/>
        <c:minorTickMark val="none"/>
        <c:tickLblPos val="nextTo"/>
        <c:crossAx val="2137960840"/>
        <c:crosses val="autoZero"/>
        <c:auto val="1"/>
        <c:lblAlgn val="ctr"/>
        <c:lblOffset val="100"/>
        <c:noMultiLvlLbl val="0"/>
      </c:catAx>
      <c:valAx>
        <c:axId val="2137960840"/>
        <c:scaling>
          <c:orientation val="minMax"/>
          <c:max val="41630.0"/>
          <c:min val="41560.0"/>
        </c:scaling>
        <c:delete val="0"/>
        <c:axPos val="t"/>
        <c:majorGridlines/>
        <c:numFmt formatCode="m&quot;月&quot;d&quot;日&quot;" sourceLinked="1"/>
        <c:majorTickMark val="none"/>
        <c:minorTickMark val="none"/>
        <c:tickLblPos val="nextTo"/>
        <c:crossAx val="21379578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98620-9935-7148-B9C7-7EA26823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254</Words>
  <Characters>1450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朝陽科技大學傳播藝術系企劃書</vt:lpstr>
    </vt:vector>
  </TitlesOfParts>
  <Company>HOMGER</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朝陽科技大學傳播藝術系企劃書</dc:title>
  <dc:creator>....</dc:creator>
  <cp:lastModifiedBy>Catherine 藍</cp:lastModifiedBy>
  <cp:revision>15</cp:revision>
  <dcterms:created xsi:type="dcterms:W3CDTF">2013-12-01T16:42:00Z</dcterms:created>
  <dcterms:modified xsi:type="dcterms:W3CDTF">2013-12-28T16:24:00Z</dcterms:modified>
</cp:coreProperties>
</file>