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F8" w:rsidRDefault="00472CF8" w:rsidP="00F215EE">
      <w:pPr>
        <w:spacing w:line="360" w:lineRule="auto"/>
        <w:jc w:val="center"/>
        <w:rPr>
          <w:rFonts w:ascii="微軟正黑體" w:eastAsia="微軟正黑體" w:hAnsi="微軟正黑體"/>
          <w:b/>
          <w:sz w:val="48"/>
        </w:rPr>
      </w:pPr>
      <w:r>
        <w:rPr>
          <w:rFonts w:ascii="微軟正黑體" w:eastAsia="微軟正黑體" w:hAnsi="微軟正黑體" w:hint="eastAsia"/>
          <w:b/>
          <w:sz w:val="48"/>
        </w:rPr>
        <w:t>成功</w:t>
      </w:r>
      <w:r w:rsidR="004B6B81" w:rsidRPr="002C1B27">
        <w:rPr>
          <w:rFonts w:ascii="微軟正黑體" w:eastAsia="微軟正黑體" w:hAnsi="微軟正黑體" w:hint="eastAsia"/>
          <w:b/>
          <w:sz w:val="48"/>
        </w:rPr>
        <w:t>大學</w:t>
      </w:r>
    </w:p>
    <w:p w:rsidR="004B6B81" w:rsidRPr="002C1B27" w:rsidRDefault="002C1B27" w:rsidP="00F215EE">
      <w:pPr>
        <w:spacing w:line="360" w:lineRule="auto"/>
        <w:jc w:val="center"/>
        <w:rPr>
          <w:rFonts w:ascii="微軟正黑體" w:eastAsia="微軟正黑體" w:hAnsi="微軟正黑體"/>
          <w:b/>
          <w:sz w:val="44"/>
        </w:rPr>
      </w:pPr>
      <w:r>
        <w:rPr>
          <w:rFonts w:ascii="微軟正黑體" w:eastAsia="微軟正黑體" w:hAnsi="微軟正黑體" w:hint="eastAsia"/>
          <w:b/>
          <w:sz w:val="48"/>
        </w:rPr>
        <w:t>科學傳播媒體通路</w:t>
      </w:r>
      <w:r w:rsidR="004B6B81" w:rsidRPr="002C1B27">
        <w:rPr>
          <w:rFonts w:ascii="微軟正黑體" w:eastAsia="微軟正黑體" w:hAnsi="微軟正黑體" w:hint="eastAsia"/>
          <w:b/>
          <w:sz w:val="48"/>
        </w:rPr>
        <w:t>企劃書</w:t>
      </w:r>
    </w:p>
    <w:p w:rsidR="00420903" w:rsidRDefault="002C1B27" w:rsidP="00472CF8">
      <w:pPr>
        <w:spacing w:line="360" w:lineRule="auto"/>
        <w:ind w:right="-14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組長：</w:t>
      </w:r>
      <w:r w:rsidR="00527036" w:rsidRPr="00527036">
        <w:rPr>
          <w:rFonts w:ascii="微軟正黑體" w:eastAsia="微軟正黑體" w:hAnsi="微軟正黑體" w:hint="eastAsia"/>
          <w:u w:val="single"/>
        </w:rPr>
        <w:t>許栢睿</w:t>
      </w:r>
      <w:r>
        <w:rPr>
          <w:rFonts w:ascii="微軟正黑體" w:eastAsia="微軟正黑體" w:hAnsi="微軟正黑體" w:hint="eastAsia"/>
        </w:rPr>
        <w:t>；組員：</w:t>
      </w:r>
      <w:r w:rsidR="00527036" w:rsidRPr="00527036">
        <w:rPr>
          <w:rFonts w:ascii="微軟正黑體" w:eastAsia="微軟正黑體" w:hAnsi="微軟正黑體" w:hint="eastAsia"/>
          <w:u w:val="single"/>
        </w:rPr>
        <w:t>楊雅婷、薛達開、王博威</w:t>
      </w:r>
    </w:p>
    <w:p w:rsidR="00F215EE" w:rsidRPr="002C1B27" w:rsidRDefault="00F215EE" w:rsidP="00472CF8">
      <w:pPr>
        <w:spacing w:line="360" w:lineRule="auto"/>
        <w:jc w:val="right"/>
        <w:rPr>
          <w:rFonts w:ascii="微軟正黑體" w:eastAsia="微軟正黑體" w:hAnsi="微軟正黑體"/>
        </w:rPr>
      </w:pPr>
      <w:r w:rsidRPr="002C1B27">
        <w:rPr>
          <w:rFonts w:ascii="微軟正黑體" w:eastAsia="微軟正黑體" w:hAnsi="微軟正黑體" w:hint="eastAsia"/>
        </w:rPr>
        <w:t>製表日期</w:t>
      </w:r>
      <w:r w:rsidRPr="002C1B27">
        <w:rPr>
          <w:rFonts w:ascii="微軟正黑體" w:eastAsia="微軟正黑體" w:hAnsi="微軟正黑體"/>
        </w:rPr>
        <w:t xml:space="preserve">: </w:t>
      </w:r>
      <w:r w:rsidRPr="002C1B27">
        <w:rPr>
          <w:rFonts w:ascii="微軟正黑體" w:eastAsia="微軟正黑體" w:hAnsi="微軟正黑體" w:hint="eastAsia"/>
        </w:rPr>
        <w:t>20</w:t>
      </w:r>
      <w:r w:rsidR="002C1B27">
        <w:rPr>
          <w:rFonts w:ascii="微軟正黑體" w:eastAsia="微軟正黑體" w:hAnsi="微軟正黑體" w:hint="eastAsia"/>
        </w:rPr>
        <w:t>13</w:t>
      </w:r>
      <w:r w:rsidRPr="002C1B27">
        <w:rPr>
          <w:rFonts w:ascii="微軟正黑體" w:eastAsia="微軟正黑體" w:hAnsi="微軟正黑體"/>
        </w:rPr>
        <w:t xml:space="preserve"> /</w:t>
      </w:r>
      <w:r w:rsidR="00527036">
        <w:rPr>
          <w:rFonts w:ascii="微軟正黑體" w:eastAsia="微軟正黑體" w:hAnsi="微軟正黑體" w:hint="eastAsia"/>
        </w:rPr>
        <w:t>12</w:t>
      </w:r>
      <w:r w:rsidRPr="002C1B27">
        <w:rPr>
          <w:rFonts w:ascii="微軟正黑體" w:eastAsia="微軟正黑體" w:hAnsi="微軟正黑體"/>
        </w:rPr>
        <w:t xml:space="preserve"> /</w:t>
      </w:r>
      <w:r w:rsidR="00527036">
        <w:rPr>
          <w:rFonts w:ascii="微軟正黑體" w:eastAsia="微軟正黑體" w:hAnsi="微軟正黑體" w:hint="eastAsia"/>
        </w:rPr>
        <w:t>29</w:t>
      </w:r>
    </w:p>
    <w:tbl>
      <w:tblPr>
        <w:tblW w:w="988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7"/>
      </w:tblGrid>
      <w:tr w:rsidR="004B6B8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91604A" w:rsidRDefault="00420903" w:rsidP="00FD5E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 w:rsidRPr="0091604A">
              <w:rPr>
                <w:rFonts w:ascii="微軟正黑體" w:eastAsia="微軟正黑體" w:hAnsi="微軟正黑體" w:hint="eastAsia"/>
                <w:sz w:val="36"/>
              </w:rPr>
              <w:t>主題</w:t>
            </w:r>
            <w:r w:rsidR="004B6B81" w:rsidRPr="0091604A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FD5E81" w:rsidRPr="00FD5E81">
              <w:rPr>
                <w:rFonts w:ascii="微軟正黑體" w:eastAsia="微軟正黑體" w:hAnsi="微軟正黑體" w:hint="eastAsia"/>
              </w:rPr>
              <w:t>黑心知多少？守護健康「油」不得你！</w:t>
            </w:r>
          </w:p>
        </w:tc>
      </w:tr>
      <w:tr w:rsidR="00420903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E81" w:rsidRPr="00FD5E81" w:rsidRDefault="00420903" w:rsidP="00FD5E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傳播目的</w:t>
            </w:r>
            <w:r w:rsidR="008D3800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FD5E81" w:rsidRPr="00FD5E81">
              <w:rPr>
                <w:rFonts w:ascii="微軟正黑體" w:eastAsia="微軟正黑體" w:hAnsi="微軟正黑體" w:hint="eastAsia"/>
              </w:rPr>
              <w:t>瞭解劣質油品中含銅葉綠素對健康的隱憂，以及喚起消費者的主動求知。藉由此讓更多人以更簡單的方式了解現在的食品安全問題。</w:t>
            </w:r>
          </w:p>
          <w:p w:rsidR="00FD5E81" w:rsidRPr="00FD5E81" w:rsidRDefault="00FD5E81" w:rsidP="00FD5E81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FD5E81">
              <w:rPr>
                <w:rFonts w:ascii="微軟正黑體" w:eastAsia="微軟正黑體" w:hAnsi="微軟正黑體" w:hint="eastAsia"/>
              </w:rPr>
              <w:t>Q：什麼是銅葉綠素？</w:t>
            </w:r>
          </w:p>
          <w:p w:rsidR="00FD5E81" w:rsidRPr="00FD5E81" w:rsidRDefault="00FD5E81" w:rsidP="00FD5E81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FD5E81">
              <w:rPr>
                <w:rFonts w:ascii="微軟正黑體" w:eastAsia="微軟正黑體" w:hAnsi="微軟正黑體" w:hint="eastAsia"/>
              </w:rPr>
              <w:t>Q：銅葉綠素可以用來添加於食用油嗎？</w:t>
            </w:r>
          </w:p>
          <w:p w:rsidR="00FD5E81" w:rsidRPr="00FD5E81" w:rsidRDefault="00FD5E81" w:rsidP="00FD5E81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FD5E81">
              <w:rPr>
                <w:rFonts w:ascii="微軟正黑體" w:eastAsia="微軟正黑體" w:hAnsi="微軟正黑體" w:hint="eastAsia"/>
              </w:rPr>
              <w:t>Q：什麼是精煉之棉籽油？</w:t>
            </w:r>
          </w:p>
          <w:p w:rsidR="00420903" w:rsidRPr="002C1B27" w:rsidRDefault="00FD5E81" w:rsidP="00FD5E81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 w:rsidRPr="00FD5E81">
              <w:rPr>
                <w:rFonts w:ascii="微軟正黑體" w:eastAsia="微軟正黑體" w:hAnsi="微軟正黑體" w:hint="eastAsia"/>
              </w:rPr>
              <w:t>Q：精煉棉籽油的安全性？</w:t>
            </w:r>
          </w:p>
        </w:tc>
      </w:tr>
      <w:tr w:rsidR="0017454D" w:rsidRPr="0091604A" w:rsidTr="00472CF8">
        <w:trPr>
          <w:cantSplit/>
          <w:trHeight w:val="861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91604A" w:rsidRDefault="0017454D" w:rsidP="00FD5E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 w:rsidRPr="002C1B27">
              <w:rPr>
                <w:rFonts w:ascii="微軟正黑體" w:eastAsia="微軟正黑體" w:hAnsi="微軟正黑體" w:hint="eastAsia"/>
                <w:sz w:val="36"/>
              </w:rPr>
              <w:t>動機：</w:t>
            </w:r>
            <w:r w:rsidR="00FD5E81" w:rsidRPr="00FD5E81">
              <w:rPr>
                <w:rFonts w:ascii="微軟正黑體" w:eastAsia="微軟正黑體" w:hAnsi="微軟正黑體" w:hint="eastAsia"/>
              </w:rPr>
              <w:t>黑心油品事件持續的發酵，油</w:t>
            </w:r>
            <w:proofErr w:type="gramStart"/>
            <w:r w:rsidR="00FD5E81" w:rsidRPr="00FD5E81">
              <w:rPr>
                <w:rFonts w:ascii="微軟正黑體" w:eastAsia="微軟正黑體" w:hAnsi="微軟正黑體" w:hint="eastAsia"/>
              </w:rPr>
              <w:t>品混充及</w:t>
            </w:r>
            <w:proofErr w:type="gramEnd"/>
            <w:r w:rsidR="00FD5E81" w:rsidRPr="00FD5E81">
              <w:rPr>
                <w:rFonts w:ascii="微軟正黑體" w:eastAsia="微軟正黑體" w:hAnsi="微軟正黑體" w:hint="eastAsia"/>
              </w:rPr>
              <w:t>違法添加銅葉綠素的事件讓大家無法吃的安心，然而銅葉綠素到底是什麼？新聞媒體</w:t>
            </w:r>
            <w:proofErr w:type="gramStart"/>
            <w:r w:rsidR="00FD5E81" w:rsidRPr="00FD5E81">
              <w:rPr>
                <w:rFonts w:ascii="微軟正黑體" w:eastAsia="微軟正黑體" w:hAnsi="微軟正黑體" w:hint="eastAsia"/>
              </w:rPr>
              <w:t>總是說的讓</w:t>
            </w:r>
            <w:proofErr w:type="gramEnd"/>
            <w:r w:rsidR="00FD5E81" w:rsidRPr="00FD5E81">
              <w:rPr>
                <w:rFonts w:ascii="微軟正黑體" w:eastAsia="微軟正黑體" w:hAnsi="微軟正黑體" w:hint="eastAsia"/>
              </w:rPr>
              <w:t>我們似懂非懂。到底銅葉綠素對人體會不會有什麼害處呢？所以，我們希望能透過白話卻明瞭的方式，來</w:t>
            </w:r>
            <w:proofErr w:type="gramStart"/>
            <w:r w:rsidR="00FD5E81" w:rsidRPr="00FD5E81">
              <w:rPr>
                <w:rFonts w:ascii="微軟正黑體" w:eastAsia="微軟正黑體" w:hAnsi="微軟正黑體" w:hint="eastAsia"/>
              </w:rPr>
              <w:t>釐</w:t>
            </w:r>
            <w:proofErr w:type="gramEnd"/>
            <w:r w:rsidR="00FD5E81" w:rsidRPr="00FD5E81">
              <w:rPr>
                <w:rFonts w:ascii="微軟正黑體" w:eastAsia="微軟正黑體" w:hAnsi="微軟正黑體" w:hint="eastAsia"/>
              </w:rPr>
              <w:t>清國人對這次事件的認知，並提高國人對於這些科學名詞的知識。</w:t>
            </w:r>
          </w:p>
        </w:tc>
      </w:tr>
      <w:tr w:rsidR="004B6B8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420903" w:rsidP="00FD5E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傳播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長度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FD5E81" w:rsidRPr="00FD5E81">
              <w:rPr>
                <w:rFonts w:ascii="微軟正黑體" w:eastAsia="微軟正黑體" w:hAnsi="微軟正黑體" w:hint="eastAsia"/>
              </w:rPr>
              <w:t>４分２８秒</w:t>
            </w:r>
          </w:p>
        </w:tc>
      </w:tr>
      <w:tr w:rsidR="004B6B8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2C1B27" w:rsidRDefault="00FE2B55" w:rsidP="00FD5E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影音</w:t>
            </w:r>
            <w:r w:rsidR="002C1B27">
              <w:rPr>
                <w:rFonts w:ascii="微軟正黑體" w:eastAsia="微軟正黑體" w:hAnsi="微軟正黑體" w:hint="eastAsia"/>
                <w:sz w:val="36"/>
              </w:rPr>
              <w:t>媒體通路</w:t>
            </w:r>
            <w:r w:rsidR="004B6B81"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FD5E81" w:rsidRPr="00FD5E81">
              <w:rPr>
                <w:rFonts w:ascii="微軟正黑體" w:eastAsia="微軟正黑體" w:hAnsi="微軟正黑體" w:hint="eastAsia"/>
              </w:rPr>
              <w:t>網路、電視台、手機APP廣告、具備小型螢幕的大眾運輸系統。</w:t>
            </w:r>
          </w:p>
        </w:tc>
      </w:tr>
      <w:tr w:rsidR="002C1B27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27" w:rsidRPr="002C1B27" w:rsidRDefault="002C1B27" w:rsidP="00FD5E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發表方式：</w:t>
            </w:r>
            <w:r w:rsidR="00FD5E81">
              <w:rPr>
                <w:rFonts w:ascii="微軟正黑體" w:eastAsia="微軟正黑體" w:hAnsi="微軟正黑體" w:hint="eastAsia"/>
              </w:rPr>
              <w:t>1.自行架設網站；2.youtube影片廣告；3.尋求非營利的公共電視台合作；4.尋求有意願合作之學校或教育機構發表</w:t>
            </w:r>
          </w:p>
        </w:tc>
      </w:tr>
      <w:tr w:rsidR="0060725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251" w:rsidRDefault="00607251" w:rsidP="00FD5E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科學內涵：</w:t>
            </w:r>
            <w:r w:rsidR="00FD5E81" w:rsidRPr="00FD5E81">
              <w:rPr>
                <w:rFonts w:ascii="微軟正黑體" w:eastAsia="微軟正黑體" w:hAnsi="微軟正黑體" w:hint="eastAsia"/>
              </w:rPr>
              <w:t>介紹銅葉綠素以及現今市售食用油類相關科學知識，給予民眾參考基準並且知道現下可食用化學物品的益處及害處，導正民眾不正確的觀點並幫助大家避開不安全的食品問題，減少社會心理及經濟上不必要的損害。</w:t>
            </w:r>
          </w:p>
        </w:tc>
      </w:tr>
      <w:tr w:rsidR="004B6B81" w:rsidRPr="002C1B27" w:rsidTr="00472CF8">
        <w:trPr>
          <w:cantSplit/>
          <w:trHeight w:val="41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903" w:rsidRPr="00FD5E81" w:rsidRDefault="00FE2B55" w:rsidP="00FD5E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FD5E81">
              <w:rPr>
                <w:rFonts w:ascii="微軟正黑體" w:eastAsia="微軟正黑體" w:hAnsi="微軟正黑體" w:hint="eastAsia"/>
                <w:sz w:val="36"/>
              </w:rPr>
              <w:t>目標</w:t>
            </w:r>
            <w:proofErr w:type="gramStart"/>
            <w:r w:rsidRPr="00FD5E81">
              <w:rPr>
                <w:rFonts w:ascii="微軟正黑體" w:eastAsia="微軟正黑體" w:hAnsi="微軟正黑體"/>
                <w:sz w:val="36"/>
              </w:rPr>
              <w:t>閱</w:t>
            </w:r>
            <w:proofErr w:type="gramEnd"/>
            <w:r w:rsidRPr="00FD5E81">
              <w:rPr>
                <w:rFonts w:ascii="微軟正黑體" w:eastAsia="微軟正黑體" w:hAnsi="微軟正黑體"/>
                <w:sz w:val="36"/>
              </w:rPr>
              <w:t>聽眾</w:t>
            </w:r>
            <w:r w:rsidR="004B6B81" w:rsidRPr="00FD5E81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FD5E81">
              <w:rPr>
                <w:rFonts w:ascii="微軟正黑體" w:eastAsia="微軟正黑體" w:hAnsi="微軟正黑體" w:hint="eastAsia"/>
              </w:rPr>
              <w:t>本次企劃主要鎖定目標族群為大學生及一般</w:t>
            </w:r>
            <w:r w:rsidR="00FD5E81" w:rsidRPr="00FD5E81">
              <w:rPr>
                <w:rFonts w:ascii="微軟正黑體" w:eastAsia="微軟正黑體" w:hAnsi="微軟正黑體" w:hint="eastAsia"/>
              </w:rPr>
              <w:t>通勤上班族以及家庭主婦、</w:t>
            </w:r>
            <w:proofErr w:type="gramStart"/>
            <w:r w:rsidR="00FD5E81" w:rsidRPr="00FD5E81">
              <w:rPr>
                <w:rFonts w:ascii="微軟正黑體" w:eastAsia="微軟正黑體" w:hAnsi="微軟正黑體" w:hint="eastAsia"/>
              </w:rPr>
              <w:t>主夫</w:t>
            </w:r>
            <w:proofErr w:type="gramEnd"/>
            <w:r w:rsidR="00FD5E81" w:rsidRPr="00FD5E81">
              <w:rPr>
                <w:rFonts w:ascii="微軟正黑體" w:eastAsia="微軟正黑體" w:hAnsi="微軟正黑體" w:hint="eastAsia"/>
              </w:rPr>
              <w:t>，年齡層分布於十八歲至四十歲，由於本次企劃主題為介紹銅葉綠素，內容主要為食品安全部分，而會處理到食物的族群大概也坐落於該年齡層間，所以我們選擇該年齡層作為主要傳播對象，由於該年齡層普遍可利用時間零碎，且網路普及化後，亦是使用網路比率最高的族群，所以我們會以網路影音的方式呈現。</w:t>
            </w:r>
          </w:p>
        </w:tc>
      </w:tr>
      <w:tr w:rsidR="004B6B81" w:rsidRPr="002C1B27" w:rsidTr="00472CF8">
        <w:trPr>
          <w:cantSplit/>
          <w:trHeight w:val="1705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B81" w:rsidRPr="00FD5E81" w:rsidRDefault="0017454D" w:rsidP="00FD5E81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FD5E81">
              <w:rPr>
                <w:rFonts w:ascii="微軟正黑體" w:eastAsia="微軟正黑體" w:hAnsi="微軟正黑體" w:hint="eastAsia"/>
                <w:sz w:val="36"/>
              </w:rPr>
              <w:t>傳播</w:t>
            </w:r>
            <w:r w:rsidR="001E2BE2" w:rsidRPr="00FD5E81">
              <w:rPr>
                <w:rFonts w:ascii="微軟正黑體" w:eastAsia="微軟正黑體" w:hAnsi="微軟正黑體" w:hint="eastAsia"/>
                <w:sz w:val="36"/>
              </w:rPr>
              <w:t>(製作)</w:t>
            </w:r>
            <w:r w:rsidR="00420903" w:rsidRPr="00FD5E81">
              <w:rPr>
                <w:rFonts w:ascii="微軟正黑體" w:eastAsia="微軟正黑體" w:hAnsi="微軟正黑體" w:hint="eastAsia"/>
                <w:sz w:val="36"/>
              </w:rPr>
              <w:t>特色</w:t>
            </w:r>
            <w:r w:rsidR="004B6B81" w:rsidRPr="00FD5E81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FD5E81" w:rsidRPr="00FD5E81">
              <w:rPr>
                <w:rFonts w:ascii="微軟正黑體" w:eastAsia="微軟正黑體" w:hAnsi="微軟正黑體" w:hint="eastAsia"/>
              </w:rPr>
              <w:t>本次傳播所利用媒介為網路影音，其特色與傳統影音最大的不同處在於時間短暫，可於儲存在雲端網路如：</w:t>
            </w:r>
            <w:proofErr w:type="spellStart"/>
            <w:r w:rsidR="00FD5E81" w:rsidRPr="00FD5E81">
              <w:rPr>
                <w:rFonts w:ascii="微軟正黑體" w:eastAsia="微軟正黑體" w:hAnsi="微軟正黑體" w:hint="eastAsia"/>
              </w:rPr>
              <w:t>youtube,vemo</w:t>
            </w:r>
            <w:proofErr w:type="spellEnd"/>
            <w:r w:rsidR="00FD5E81" w:rsidRPr="00FD5E81">
              <w:rPr>
                <w:rFonts w:ascii="微軟正黑體" w:eastAsia="微軟正黑體" w:hAnsi="微軟正黑體" w:hint="eastAsia"/>
              </w:rPr>
              <w:t>上在藉由現代科技呈現於各種行動平台裝置，如：手機，平板電腦等，在現代人忙碌的時間中能夠利用短暫的空檔去觀看影片，方便吸收新資訊，內容部分，影片由三段落組成，開頭→詳細解說→結尾，開頭利用日常生活皆會接觸到的食品</w:t>
            </w:r>
            <w:proofErr w:type="gramStart"/>
            <w:r w:rsidR="00FD5E81" w:rsidRPr="00FD5E81">
              <w:rPr>
                <w:rFonts w:ascii="微軟正黑體" w:eastAsia="微軟正黑體" w:hAnsi="微軟正黑體" w:hint="eastAsia"/>
              </w:rPr>
              <w:t>─</w:t>
            </w:r>
            <w:proofErr w:type="gramEnd"/>
            <w:r w:rsidR="00FD5E81" w:rsidRPr="00FD5E81">
              <w:rPr>
                <w:rFonts w:ascii="微軟正黑體" w:eastAsia="微軟正黑體" w:hAnsi="微軟正黑體" w:hint="eastAsia"/>
              </w:rPr>
              <w:t>食用油，並以創意方式呈現，吸引觀眾觀看意願，隨後利用新聞畫面製造聳動情節，在由解說人員配合淺顯易懂的圖片解說銅葉綠素的觀念，以達到科普傳播效果，最後在結尾。</w:t>
            </w:r>
          </w:p>
        </w:tc>
      </w:tr>
      <w:tr w:rsidR="0017454D" w:rsidRPr="002B6BC8" w:rsidTr="00472CF8">
        <w:trPr>
          <w:cantSplit/>
          <w:trHeight w:val="854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4D" w:rsidRPr="00FD5E81" w:rsidRDefault="00892EB2" w:rsidP="00892EB2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t>人力安排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：</w:t>
            </w:r>
          </w:p>
          <w:p w:rsidR="00FD5E81" w:rsidRDefault="002B6BC8" w:rsidP="00FD5E81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楊雅婷：蒐集資料、劇本</w:t>
            </w:r>
          </w:p>
          <w:p w:rsidR="002B6BC8" w:rsidRDefault="002B6BC8" w:rsidP="00FD5E81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薛達開：蒐集資料、演員(小天使)、講解講稿</w:t>
            </w:r>
          </w:p>
          <w:p w:rsidR="002B6BC8" w:rsidRDefault="002B6BC8" w:rsidP="00FD5E81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王博威：蒐集資料、攝影設備、拍攝</w:t>
            </w:r>
          </w:p>
          <w:p w:rsidR="002B6BC8" w:rsidRPr="002B6BC8" w:rsidRDefault="002B6BC8" w:rsidP="00FD5E81">
            <w:pPr>
              <w:pStyle w:val="a7"/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</w:rPr>
              <w:t>許栢睿：蒐集資料、演員(小男孩)、影片後製</w:t>
            </w:r>
          </w:p>
        </w:tc>
      </w:tr>
      <w:tr w:rsidR="004B6B81" w:rsidRPr="002C1B27" w:rsidTr="00472CF8">
        <w:trPr>
          <w:cantSplit/>
          <w:trHeight w:val="1705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B81" w:rsidRPr="00892EB2" w:rsidRDefault="00892EB2" w:rsidP="00AE292D">
            <w:pPr>
              <w:pStyle w:val="a7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微軟正黑體" w:eastAsia="微軟正黑體" w:hAnsi="微軟正黑體"/>
                <w:sz w:val="36"/>
              </w:rPr>
            </w:pPr>
            <w:r>
              <w:rPr>
                <w:rFonts w:ascii="微軟正黑體" w:eastAsia="微軟正黑體" w:hAnsi="微軟正黑體" w:hint="eastAsia"/>
                <w:sz w:val="36"/>
              </w:rPr>
              <w:lastRenderedPageBreak/>
              <w:t>置備</w:t>
            </w:r>
            <w:r w:rsidRPr="002C1B27">
              <w:rPr>
                <w:rFonts w:ascii="微軟正黑體" w:eastAsia="微軟正黑體" w:hAnsi="微軟正黑體" w:hint="eastAsia"/>
                <w:sz w:val="36"/>
              </w:rPr>
              <w:t>進度表：</w:t>
            </w:r>
            <w:r w:rsidR="00AE292D" w:rsidRPr="00AE292D">
              <w:rPr>
                <w:rFonts w:ascii="微軟正黑體" w:eastAsia="微軟正黑體" w:hAnsi="微軟正黑體"/>
                <w:noProof/>
                <w:sz w:val="36"/>
                <w:bdr w:val="single" w:sz="4" w:space="0" w:color="auto"/>
              </w:rPr>
              <w:drawing>
                <wp:inline distT="0" distB="0" distL="0" distR="0" wp14:anchorId="2C9A0BA0" wp14:editId="2CBCB72B">
                  <wp:extent cx="5962650" cy="22383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Gantt Projec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9637" cy="22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B81" w:rsidRPr="002C1B27" w:rsidTr="00472CF8">
        <w:trPr>
          <w:cantSplit/>
          <w:trHeight w:val="133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EB2" w:rsidRPr="002C1B27" w:rsidRDefault="00BC1619" w:rsidP="00AE292D">
            <w:pPr>
              <w:pStyle w:val="a7"/>
              <w:numPr>
                <w:ilvl w:val="0"/>
                <w:numId w:val="2"/>
              </w:numPr>
              <w:spacing w:line="360" w:lineRule="auto"/>
              <w:ind w:leftChars="283" w:left="1107" w:hangingChars="119" w:hanging="428"/>
              <w:jc w:val="both"/>
              <w:rPr>
                <w:rFonts w:ascii="微軟正黑體" w:eastAsia="微軟正黑體" w:hAnsi="微軟正黑體"/>
              </w:rPr>
            </w:pPr>
            <w:r w:rsidRPr="00AE292D">
              <w:rPr>
                <w:rFonts w:ascii="微軟正黑體" w:eastAsia="微軟正黑體" w:hAnsi="微軟正黑體"/>
                <w:sz w:val="36"/>
              </w:rPr>
              <w:t>預期成效</w:t>
            </w:r>
            <w:r w:rsidR="004B6B81" w:rsidRPr="00AE292D"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AE292D" w:rsidRPr="00AE292D">
              <w:rPr>
                <w:rFonts w:ascii="微軟正黑體" w:eastAsia="微軟正黑體" w:hAnsi="微軟正黑體" w:hint="eastAsia"/>
              </w:rPr>
              <w:t>透過上傳</w:t>
            </w:r>
            <w:proofErr w:type="spellStart"/>
            <w:r w:rsidR="00AE292D" w:rsidRPr="00AE292D">
              <w:rPr>
                <w:rFonts w:ascii="微軟正黑體" w:eastAsia="微軟正黑體" w:hAnsi="微軟正黑體" w:hint="eastAsia"/>
              </w:rPr>
              <w:t>Youtube</w:t>
            </w:r>
            <w:proofErr w:type="spellEnd"/>
            <w:r w:rsidR="00AE292D" w:rsidRPr="00AE292D">
              <w:rPr>
                <w:rFonts w:ascii="微軟正黑體" w:eastAsia="微軟正黑體" w:hAnsi="微軟正黑體" w:hint="eastAsia"/>
              </w:rPr>
              <w:t>及Facebook的分享，期望經由這兩</w:t>
            </w:r>
            <w:proofErr w:type="gramStart"/>
            <w:r w:rsidR="00AE292D" w:rsidRPr="00AE292D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="00AE292D" w:rsidRPr="00AE292D">
              <w:rPr>
                <w:rFonts w:ascii="微軟正黑體" w:eastAsia="微軟正黑體" w:hAnsi="微軟正黑體" w:hint="eastAsia"/>
              </w:rPr>
              <w:t>時下最流行最普遍的通路，一傳十、十傳百，能夠廣泛得傳播出去。而在目標群收看後，希望能瞭解這一件食用油事件的真相，並理解到底對我們的生活有什麼樣的影響，不要只接受部分媒體的</w:t>
            </w:r>
            <w:proofErr w:type="gramStart"/>
            <w:r w:rsidR="00AE292D" w:rsidRPr="00AE292D">
              <w:rPr>
                <w:rFonts w:ascii="微軟正黑體" w:eastAsia="微軟正黑體" w:hAnsi="微軟正黑體" w:hint="eastAsia"/>
              </w:rPr>
              <w:t>誇大說詞</w:t>
            </w:r>
            <w:proofErr w:type="gramEnd"/>
            <w:r w:rsidR="00AE292D" w:rsidRPr="00AE292D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892EB2" w:rsidRPr="002C1B27" w:rsidTr="00472CF8">
        <w:trPr>
          <w:cantSplit/>
          <w:trHeight w:val="1332"/>
        </w:trPr>
        <w:tc>
          <w:tcPr>
            <w:tcW w:w="9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EB2" w:rsidRPr="00BC1619" w:rsidRDefault="00892EB2" w:rsidP="00AE292D">
            <w:pPr>
              <w:pStyle w:val="a7"/>
              <w:numPr>
                <w:ilvl w:val="0"/>
                <w:numId w:val="2"/>
              </w:numPr>
              <w:ind w:leftChars="0"/>
              <w:rPr>
                <w:rFonts w:ascii="微軟正黑體" w:eastAsia="微軟正黑體" w:hAnsi="微軟正黑體"/>
                <w:sz w:val="36"/>
              </w:rPr>
            </w:pPr>
            <w:r w:rsidRPr="00892EB2">
              <w:rPr>
                <w:rFonts w:ascii="微軟正黑體" w:eastAsia="微軟正黑體" w:hAnsi="微軟正黑體" w:hint="eastAsia"/>
                <w:sz w:val="36"/>
              </w:rPr>
              <w:t>經費概算</w:t>
            </w:r>
            <w:r>
              <w:rPr>
                <w:rFonts w:ascii="微軟正黑體" w:eastAsia="微軟正黑體" w:hAnsi="微軟正黑體" w:hint="eastAsia"/>
                <w:sz w:val="36"/>
              </w:rPr>
              <w:t>：</w:t>
            </w:r>
            <w:r w:rsidR="00AE292D">
              <w:rPr>
                <w:rFonts w:ascii="微軟正黑體" w:eastAsia="微軟正黑體" w:hAnsi="微軟正黑體" w:hint="eastAsia"/>
              </w:rPr>
              <w:t>無。</w:t>
            </w:r>
            <w:bookmarkStart w:id="0" w:name="_GoBack"/>
            <w:bookmarkEnd w:id="0"/>
          </w:p>
        </w:tc>
      </w:tr>
    </w:tbl>
    <w:p w:rsidR="004B6B81" w:rsidRPr="002C1B27" w:rsidRDefault="004B6B81" w:rsidP="009C3F87">
      <w:pPr>
        <w:spacing w:line="360" w:lineRule="auto"/>
        <w:rPr>
          <w:rFonts w:ascii="微軟正黑體" w:eastAsia="微軟正黑體" w:hAnsi="微軟正黑體"/>
        </w:rPr>
      </w:pPr>
    </w:p>
    <w:sectPr w:rsidR="004B6B81" w:rsidRPr="002C1B27" w:rsidSect="009C3F87">
      <w:pgSz w:w="11906" w:h="16838"/>
      <w:pgMar w:top="568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5A" w:rsidRDefault="00A45A5A" w:rsidP="002C1B27">
      <w:r>
        <w:separator/>
      </w:r>
    </w:p>
  </w:endnote>
  <w:endnote w:type="continuationSeparator" w:id="0">
    <w:p w:rsidR="00A45A5A" w:rsidRDefault="00A45A5A" w:rsidP="002C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5A" w:rsidRDefault="00A45A5A" w:rsidP="002C1B27">
      <w:r>
        <w:separator/>
      </w:r>
    </w:p>
  </w:footnote>
  <w:footnote w:type="continuationSeparator" w:id="0">
    <w:p w:rsidR="00A45A5A" w:rsidRDefault="00A45A5A" w:rsidP="002C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28B"/>
    <w:multiLevelType w:val="hybridMultilevel"/>
    <w:tmpl w:val="2C980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53A3A25"/>
    <w:multiLevelType w:val="hybridMultilevel"/>
    <w:tmpl w:val="A91E81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00078E"/>
    <w:multiLevelType w:val="hybridMultilevel"/>
    <w:tmpl w:val="BA200942"/>
    <w:lvl w:ilvl="0" w:tplc="A2D2F8CC">
      <w:start w:val="1"/>
      <w:numFmt w:val="taiwaneseCountingThousand"/>
      <w:lvlText w:val="%1、"/>
      <w:lvlJc w:val="left"/>
      <w:pPr>
        <w:ind w:left="480" w:hanging="480"/>
      </w:pPr>
      <w:rPr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81"/>
    <w:rsid w:val="00057A72"/>
    <w:rsid w:val="0009110D"/>
    <w:rsid w:val="0017454D"/>
    <w:rsid w:val="001E2BE2"/>
    <w:rsid w:val="002B6BC8"/>
    <w:rsid w:val="002C1B27"/>
    <w:rsid w:val="00316AC3"/>
    <w:rsid w:val="003B654F"/>
    <w:rsid w:val="00420903"/>
    <w:rsid w:val="00472CF8"/>
    <w:rsid w:val="004B6B81"/>
    <w:rsid w:val="004D69FB"/>
    <w:rsid w:val="00527036"/>
    <w:rsid w:val="005328B6"/>
    <w:rsid w:val="00560F2C"/>
    <w:rsid w:val="00607251"/>
    <w:rsid w:val="0075336C"/>
    <w:rsid w:val="007F565F"/>
    <w:rsid w:val="00892EB2"/>
    <w:rsid w:val="008D3800"/>
    <w:rsid w:val="0091604A"/>
    <w:rsid w:val="009C3F87"/>
    <w:rsid w:val="00A45A5A"/>
    <w:rsid w:val="00AE292D"/>
    <w:rsid w:val="00BC1619"/>
    <w:rsid w:val="00C343FF"/>
    <w:rsid w:val="00EE674B"/>
    <w:rsid w:val="00F215EE"/>
    <w:rsid w:val="00FD358A"/>
    <w:rsid w:val="00FD5E81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1B27"/>
    <w:rPr>
      <w:kern w:val="2"/>
    </w:rPr>
  </w:style>
  <w:style w:type="paragraph" w:styleId="a5">
    <w:name w:val="footer"/>
    <w:basedOn w:val="a"/>
    <w:link w:val="a6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1B27"/>
    <w:rPr>
      <w:kern w:val="2"/>
    </w:rPr>
  </w:style>
  <w:style w:type="paragraph" w:styleId="a7">
    <w:name w:val="List Paragraph"/>
    <w:basedOn w:val="a"/>
    <w:uiPriority w:val="34"/>
    <w:qFormat/>
    <w:rsid w:val="0091604A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AE2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AE29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1B27"/>
    <w:rPr>
      <w:kern w:val="2"/>
    </w:rPr>
  </w:style>
  <w:style w:type="paragraph" w:styleId="a5">
    <w:name w:val="footer"/>
    <w:basedOn w:val="a"/>
    <w:link w:val="a6"/>
    <w:rsid w:val="002C1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1B27"/>
    <w:rPr>
      <w:kern w:val="2"/>
    </w:rPr>
  </w:style>
  <w:style w:type="paragraph" w:styleId="a7">
    <w:name w:val="List Paragraph"/>
    <w:basedOn w:val="a"/>
    <w:uiPriority w:val="34"/>
    <w:qFormat/>
    <w:rsid w:val="0091604A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AE2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AE29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699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571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407">
          <w:marLeft w:val="13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376F1-28C8-4B76-BEC3-449BCB79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朝陽科技大學傳播藝術系企劃書</vt:lpstr>
    </vt:vector>
  </TitlesOfParts>
  <Company>HOMGER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朝陽科技大學傳播藝術系企劃書</dc:title>
  <dc:creator>....</dc:creator>
  <cp:lastModifiedBy>Remy</cp:lastModifiedBy>
  <cp:revision>13</cp:revision>
  <dcterms:created xsi:type="dcterms:W3CDTF">2013-12-01T16:42:00Z</dcterms:created>
  <dcterms:modified xsi:type="dcterms:W3CDTF">2013-12-29T04:59:00Z</dcterms:modified>
</cp:coreProperties>
</file>