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F8" w:rsidRDefault="00472CF8" w:rsidP="00F215EE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>
        <w:rPr>
          <w:rFonts w:ascii="微軟正黑體" w:eastAsia="微軟正黑體" w:hAnsi="微軟正黑體" w:hint="eastAsia"/>
          <w:b/>
          <w:sz w:val="48"/>
        </w:rPr>
        <w:t>成功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大學</w:t>
      </w:r>
    </w:p>
    <w:p w:rsidR="004B6B81" w:rsidRPr="002C1B27" w:rsidRDefault="002C1B27" w:rsidP="00F215EE">
      <w:pPr>
        <w:spacing w:line="360" w:lineRule="auto"/>
        <w:jc w:val="center"/>
        <w:rPr>
          <w:rFonts w:ascii="微軟正黑體" w:eastAsia="微軟正黑體" w:hAnsi="微軟正黑體"/>
          <w:b/>
          <w:sz w:val="44"/>
        </w:rPr>
      </w:pPr>
      <w:r>
        <w:rPr>
          <w:rFonts w:ascii="微軟正黑體" w:eastAsia="微軟正黑體" w:hAnsi="微軟正黑體" w:hint="eastAsia"/>
          <w:b/>
          <w:sz w:val="48"/>
        </w:rPr>
        <w:t>科學傳播媒體通路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企劃書</w:t>
      </w:r>
    </w:p>
    <w:p w:rsidR="00420903" w:rsidRDefault="002C1B27" w:rsidP="00472CF8">
      <w:pPr>
        <w:spacing w:line="360" w:lineRule="auto"/>
        <w:ind w:right="-14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組長：</w:t>
      </w:r>
      <w:r w:rsidR="00F93A32">
        <w:rPr>
          <w:rFonts w:ascii="微軟正黑體" w:eastAsia="微軟正黑體" w:hAnsi="微軟正黑體" w:hint="eastAsia"/>
        </w:rPr>
        <w:t>林大鼎</w:t>
      </w:r>
      <w:r>
        <w:rPr>
          <w:rFonts w:ascii="微軟正黑體" w:eastAsia="微軟正黑體" w:hAnsi="微軟正黑體" w:hint="eastAsia"/>
        </w:rPr>
        <w:t>；組員：</w:t>
      </w:r>
      <w:r w:rsidR="00F93A32">
        <w:rPr>
          <w:rFonts w:ascii="微軟正黑體" w:eastAsia="微軟正黑體" w:hAnsi="微軟正黑體" w:hint="eastAsia"/>
        </w:rPr>
        <w:t>陳偉基、</w:t>
      </w:r>
      <w:r w:rsidR="00F93A32">
        <w:rPr>
          <w:rFonts w:ascii="微軟正黑體" w:eastAsia="微軟正黑體" w:hAnsi="微軟正黑體" w:hint="eastAsia"/>
        </w:rPr>
        <w:t>吳昕緯</w:t>
      </w:r>
    </w:p>
    <w:p w:rsidR="00F215EE" w:rsidRPr="002C1B27" w:rsidRDefault="00F215EE" w:rsidP="009A16A8">
      <w:pPr>
        <w:wordWrap w:val="0"/>
        <w:spacing w:line="360" w:lineRule="auto"/>
        <w:jc w:val="right"/>
        <w:rPr>
          <w:rFonts w:ascii="微軟正黑體" w:eastAsia="微軟正黑體" w:hAnsi="微軟正黑體"/>
        </w:rPr>
      </w:pPr>
      <w:r w:rsidRPr="002C1B27">
        <w:rPr>
          <w:rFonts w:ascii="微軟正黑體" w:eastAsia="微軟正黑體" w:hAnsi="微軟正黑體" w:hint="eastAsia"/>
        </w:rPr>
        <w:t>製表日期</w:t>
      </w:r>
      <w:r w:rsidRPr="002C1B27">
        <w:rPr>
          <w:rFonts w:ascii="微軟正黑體" w:eastAsia="微軟正黑體" w:hAnsi="微軟正黑體"/>
        </w:rPr>
        <w:t xml:space="preserve">: </w:t>
      </w:r>
      <w:r w:rsidRPr="002C1B27">
        <w:rPr>
          <w:rFonts w:ascii="微軟正黑體" w:eastAsia="微軟正黑體" w:hAnsi="微軟正黑體" w:hint="eastAsia"/>
        </w:rPr>
        <w:t>20</w:t>
      </w:r>
      <w:r w:rsidR="002C1B27">
        <w:rPr>
          <w:rFonts w:ascii="微軟正黑體" w:eastAsia="微軟正黑體" w:hAnsi="微軟正黑體" w:hint="eastAsia"/>
        </w:rPr>
        <w:t>13</w:t>
      </w:r>
      <w:r w:rsidRPr="002C1B27">
        <w:rPr>
          <w:rFonts w:ascii="微軟正黑體" w:eastAsia="微軟正黑體" w:hAnsi="微軟正黑體"/>
        </w:rPr>
        <w:t xml:space="preserve"> / </w:t>
      </w:r>
      <w:r w:rsidR="009A16A8">
        <w:rPr>
          <w:rFonts w:ascii="微軟正黑體" w:eastAsia="微軟正黑體" w:hAnsi="微軟正黑體"/>
        </w:rPr>
        <w:t>12</w:t>
      </w:r>
      <w:r w:rsidRPr="002C1B27">
        <w:rPr>
          <w:rFonts w:ascii="微軟正黑體" w:eastAsia="微軟正黑體" w:hAnsi="微軟正黑體"/>
        </w:rPr>
        <w:t>/</w:t>
      </w:r>
      <w:r w:rsidR="009A16A8">
        <w:rPr>
          <w:rFonts w:ascii="微軟正黑體" w:eastAsia="微軟正黑體" w:hAnsi="微軟正黑體"/>
        </w:rPr>
        <w:t xml:space="preserve"> 27</w:t>
      </w:r>
    </w:p>
    <w:tbl>
      <w:tblPr>
        <w:tblW w:w="988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7"/>
      </w:tblGrid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91604A" w:rsidRDefault="00420903" w:rsidP="00E14630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91604A">
              <w:rPr>
                <w:rFonts w:ascii="微軟正黑體" w:eastAsia="微軟正黑體" w:hAnsi="微軟正黑體" w:hint="eastAsia"/>
                <w:sz w:val="36"/>
              </w:rPr>
              <w:t>主題</w:t>
            </w:r>
            <w:r w:rsidR="004B6B81" w:rsidRPr="0091604A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E14630">
              <w:rPr>
                <w:rFonts w:ascii="微軟正黑體" w:eastAsia="微軟正黑體" w:hAnsi="微軟正黑體" w:hint="eastAsia"/>
              </w:rPr>
              <w:t>3</w:t>
            </w:r>
            <w:r w:rsidR="00E14630">
              <w:rPr>
                <w:rFonts w:ascii="微軟正黑體" w:eastAsia="微軟正黑體" w:hAnsi="微軟正黑體"/>
              </w:rPr>
              <w:t>D</w:t>
            </w:r>
            <w:r w:rsidR="00E14630">
              <w:rPr>
                <w:rFonts w:ascii="微軟正黑體" w:eastAsia="微軟正黑體" w:hAnsi="微軟正黑體" w:hint="eastAsia"/>
              </w:rPr>
              <w:t>列印正夯</w:t>
            </w:r>
          </w:p>
        </w:tc>
      </w:tr>
      <w:tr w:rsidR="00420903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2C1B27" w:rsidRDefault="00420903" w:rsidP="00D66B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傳播目的</w:t>
            </w:r>
            <w:r w:rsidR="008D3800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E14630">
              <w:rPr>
                <w:rFonts w:ascii="微軟正黑體" w:eastAsia="微軟正黑體" w:hAnsi="微軟正黑體" w:hint="eastAsia"/>
              </w:rPr>
              <w:t>希望藉由這次的企劃，讓大家對3D列印有初步的認識。</w:t>
            </w:r>
            <w:r w:rsidR="00E14630" w:rsidRPr="002C1B27">
              <w:rPr>
                <w:rFonts w:ascii="微軟正黑體" w:eastAsia="微軟正黑體" w:hAnsi="微軟正黑體"/>
                <w:sz w:val="36"/>
              </w:rPr>
              <w:t xml:space="preserve"> </w:t>
            </w:r>
          </w:p>
        </w:tc>
      </w:tr>
      <w:tr w:rsidR="0017454D" w:rsidRPr="0091604A" w:rsidTr="00472CF8">
        <w:trPr>
          <w:cantSplit/>
          <w:trHeight w:val="861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91604A" w:rsidRDefault="0017454D" w:rsidP="00D66B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動機：</w:t>
            </w:r>
            <w:r w:rsidR="00D66B81">
              <w:rPr>
                <w:rFonts w:ascii="微軟正黑體" w:eastAsia="微軟正黑體" w:hAnsi="微軟正黑體" w:hint="eastAsia"/>
              </w:rPr>
              <w:t>今年3D列印有非常大的進展，也有許多生活方面的應用。因為常在科普報導中提到3D列印，進而想要了解更多，所以做了這個企劃。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420903" w:rsidP="0091604A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長度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D66B81">
              <w:rPr>
                <w:rFonts w:ascii="微軟正黑體" w:eastAsia="微軟正黑體" w:hAnsi="微軟正黑體" w:hint="eastAsia"/>
              </w:rPr>
              <w:t>4</w:t>
            </w:r>
            <w:r w:rsidR="004B6B81" w:rsidRPr="002C1B27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FE2B55" w:rsidP="0091604A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影音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媒體通路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網路</w:t>
            </w:r>
            <w:r w:rsidR="002C1B27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2C1B27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27" w:rsidRPr="002C1B27" w:rsidRDefault="002C1B27" w:rsidP="0091604A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發表方式：</w:t>
            </w:r>
            <w:r w:rsidR="00D66B81">
              <w:rPr>
                <w:rFonts w:ascii="微軟正黑體" w:eastAsia="微軟正黑體" w:hAnsi="微軟正黑體" w:hint="eastAsia"/>
              </w:rPr>
              <w:t>上傳影片製YouTube。</w:t>
            </w:r>
          </w:p>
        </w:tc>
      </w:tr>
      <w:tr w:rsidR="0060725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51" w:rsidRDefault="00607251" w:rsidP="0091604A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科學內涵：</w:t>
            </w:r>
            <w:r w:rsidR="00D66B81">
              <w:rPr>
                <w:rFonts w:ascii="微軟正黑體" w:eastAsia="微軟正黑體" w:hAnsi="微軟正黑體" w:hint="eastAsia"/>
              </w:rPr>
              <w:t>3D列印的原理、以及在各個領域的應用。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420903" w:rsidRDefault="00FE2B55" w:rsidP="0091604A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目標</w:t>
            </w:r>
            <w:r>
              <w:rPr>
                <w:rFonts w:ascii="微軟正黑體" w:eastAsia="微軟正黑體" w:hAnsi="微軟正黑體"/>
                <w:sz w:val="36"/>
              </w:rPr>
              <w:t>閱聽眾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5259DD">
              <w:rPr>
                <w:rFonts w:ascii="微軟正黑體" w:eastAsia="微軟正黑體" w:hAnsi="微軟正黑體" w:hint="eastAsia"/>
              </w:rPr>
              <w:t>大學生</w:t>
            </w:r>
            <w:r w:rsidR="00420903">
              <w:rPr>
                <w:rFonts w:ascii="微軟正黑體" w:eastAsia="微軟正黑體" w:hAnsi="微軟正黑體" w:hint="eastAsia"/>
              </w:rPr>
              <w:t>、高中學生</w:t>
            </w:r>
          </w:p>
          <w:p w:rsidR="005259DD" w:rsidRPr="005259DD" w:rsidRDefault="005259DD" w:rsidP="005259DD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259DD">
              <w:rPr>
                <w:rFonts w:ascii="微軟正黑體" w:eastAsia="微軟正黑體" w:hAnsi="微軟正黑體" w:hint="eastAsia"/>
              </w:rPr>
              <w:t>從大學生到高中生，年齡分布是在十五以上，三十以下。</w:t>
            </w:r>
          </w:p>
          <w:p w:rsidR="005259DD" w:rsidRDefault="005259DD" w:rsidP="005259DD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目標聽眾</w:t>
            </w:r>
            <w:r w:rsidRPr="005259DD">
              <w:rPr>
                <w:rFonts w:ascii="微軟正黑體" w:eastAsia="微軟正黑體" w:hAnsi="微軟正黑體" w:hint="eastAsia"/>
              </w:rPr>
              <w:t>會因為許多原因，例如做報告、做專題、與朋友的話題等，會上網找資料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:rsidR="00420903" w:rsidRPr="005259DD" w:rsidRDefault="00B7070A" w:rsidP="00B7070A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我們是利用YouTube影片來簡介3D列印這項技術，在簡短的四分鐘內涵蓋了它的原理以及在不同領域的應用、發展</w:t>
            </w:r>
            <w:r w:rsidR="00420903" w:rsidRPr="005259DD">
              <w:rPr>
                <w:rFonts w:ascii="微軟正黑體" w:eastAsia="微軟正黑體" w:hAnsi="微軟正黑體" w:hint="eastAsia"/>
              </w:rPr>
              <w:t>。</w:t>
            </w:r>
            <w:r>
              <w:rPr>
                <w:rFonts w:ascii="微軟正黑體" w:eastAsia="微軟正黑體" w:hAnsi="微軟正黑體" w:hint="eastAsia"/>
              </w:rPr>
              <w:t>對於目標聽眾來講比較沒有負擔，可以在短時間內知道3D列印的基本知識，進而利用關鍵字去查詢他們想要知道的更多訊息。</w:t>
            </w:r>
          </w:p>
        </w:tc>
      </w:tr>
      <w:tr w:rsidR="004B6B81" w:rsidRPr="002C1B27" w:rsidTr="00472CF8">
        <w:trPr>
          <w:cantSplit/>
          <w:trHeight w:val="1705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71B" w:rsidRPr="0080471B" w:rsidRDefault="0017454D" w:rsidP="0080471B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 w:hint="eastAsia"/>
              </w:rPr>
            </w:pPr>
            <w:r w:rsidRPr="0091604A">
              <w:rPr>
                <w:rFonts w:ascii="微軟正黑體" w:eastAsia="微軟正黑體" w:hAnsi="微軟正黑體" w:hint="eastAsia"/>
                <w:sz w:val="36"/>
              </w:rPr>
              <w:lastRenderedPageBreak/>
              <w:t>傳播</w:t>
            </w:r>
            <w:r w:rsidR="001E2BE2">
              <w:rPr>
                <w:rFonts w:ascii="微軟正黑體" w:eastAsia="微軟正黑體" w:hAnsi="微軟正黑體" w:hint="eastAsia"/>
                <w:sz w:val="36"/>
              </w:rPr>
              <w:t>(製作)</w:t>
            </w:r>
            <w:r w:rsidR="00420903" w:rsidRPr="0091604A">
              <w:rPr>
                <w:rFonts w:ascii="微軟正黑體" w:eastAsia="微軟正黑體" w:hAnsi="微軟正黑體" w:hint="eastAsia"/>
                <w:sz w:val="36"/>
              </w:rPr>
              <w:t>特色</w:t>
            </w:r>
            <w:r w:rsidR="004B6B81" w:rsidRPr="0091604A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420903" w:rsidRPr="00420903" w:rsidRDefault="00420903" w:rsidP="0080471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1.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0471B">
              <w:rPr>
                <w:rFonts w:ascii="微軟正黑體" w:eastAsia="微軟正黑體" w:hAnsi="微軟正黑體" w:hint="eastAsia"/>
              </w:rPr>
              <w:t>利用關鍵字搭配圖示，讓觀眾能夠很快地了解我們要傳達的內容。</w:t>
            </w:r>
            <w:r w:rsidRPr="00420903">
              <w:rPr>
                <w:rFonts w:ascii="微軟正黑體" w:eastAsia="微軟正黑體" w:hAnsi="微軟正黑體"/>
              </w:rPr>
              <w:t xml:space="preserve"> </w:t>
            </w:r>
          </w:p>
          <w:p w:rsidR="0080471B" w:rsidRDefault="00420903" w:rsidP="0080471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 w:rsidRPr="00420903">
              <w:rPr>
                <w:rFonts w:ascii="微軟正黑體" w:eastAsia="微軟正黑體" w:hAnsi="微軟正黑體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0471B">
              <w:rPr>
                <w:rFonts w:ascii="微軟正黑體" w:eastAsia="微軟正黑體" w:hAnsi="微軟正黑體" w:hint="eastAsia"/>
              </w:rPr>
              <w:t>去除掉生硬的專有名詞，以大眾所能理解的用語呈現。</w:t>
            </w:r>
          </w:p>
          <w:p w:rsidR="004B6B81" w:rsidRPr="002C1B27" w:rsidRDefault="0080471B" w:rsidP="00001653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  <w:r w:rsidR="00420903" w:rsidRPr="00420903">
              <w:rPr>
                <w:rFonts w:ascii="微軟正黑體" w:eastAsia="微軟正黑體" w:hAnsi="微軟正黑體"/>
              </w:rPr>
              <w:t>.</w:t>
            </w:r>
            <w:r w:rsidR="00001653">
              <w:rPr>
                <w:rFonts w:ascii="微軟正黑體" w:eastAsia="微軟正黑體" w:hAnsi="微軟正黑體"/>
              </w:rPr>
              <w:t xml:space="preserve"> </w:t>
            </w:r>
            <w:r w:rsidR="00001653">
              <w:rPr>
                <w:rFonts w:ascii="微軟正黑體" w:eastAsia="微軟正黑體" w:hAnsi="微軟正黑體" w:hint="eastAsia"/>
              </w:rPr>
              <w:t>我們濃縮了許多資料(文章、影片)的內容，此份企劃能夠帶給學生們3D列印這項技術基礎的認識，讓他們在未來生活中應用到這3D列印時不會感到陌生。</w:t>
            </w:r>
          </w:p>
        </w:tc>
      </w:tr>
      <w:tr w:rsidR="0017454D" w:rsidRPr="002C1B27" w:rsidTr="00472CF8">
        <w:trPr>
          <w:cantSplit/>
          <w:trHeight w:val="854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Default="00892EB2" w:rsidP="00893F70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人力安排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893F70" w:rsidRPr="0017454D">
              <w:rPr>
                <w:rFonts w:ascii="微軟正黑體" w:eastAsia="微軟正黑體" w:hAnsi="微軟正黑體"/>
                <w:sz w:val="36"/>
              </w:rPr>
              <w:t xml:space="preserve"> </w:t>
            </w:r>
          </w:p>
          <w:p w:rsidR="00893F70" w:rsidRPr="0017454D" w:rsidRDefault="00893F70" w:rsidP="00893F70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 xml:space="preserve">林大鼎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旁白、後製</w:t>
            </w:r>
            <w:r>
              <w:rPr>
                <w:rFonts w:ascii="微軟正黑體" w:eastAsia="微軟正黑體" w:hAnsi="微軟正黑體"/>
              </w:rPr>
              <w:br/>
              <w:t xml:space="preserve">       </w:t>
            </w:r>
            <w:r>
              <w:rPr>
                <w:rFonts w:ascii="微軟正黑體" w:eastAsia="微軟正黑體" w:hAnsi="微軟正黑體"/>
              </w:rPr>
              <w:t>陳偉基 – 美工</w:t>
            </w:r>
            <w:r>
              <w:rPr>
                <w:rFonts w:ascii="微軟正黑體" w:eastAsia="微軟正黑體" w:hAnsi="微軟正黑體" w:hint="eastAsia"/>
              </w:rPr>
              <w:t>、蒐集資料</w:t>
            </w:r>
            <w:r>
              <w:rPr>
                <w:rFonts w:ascii="微軟正黑體" w:eastAsia="微軟正黑體" w:hAnsi="微軟正黑體" w:hint="eastAsia"/>
              </w:rPr>
              <w:br/>
              <w:t xml:space="preserve">       吳昕緯</w:t>
            </w:r>
            <w:r>
              <w:rPr>
                <w:rFonts w:ascii="微軟正黑體" w:eastAsia="微軟正黑體" w:hAnsi="微軟正黑體"/>
              </w:rPr>
              <w:t xml:space="preserve"> – 攝影</w:t>
            </w:r>
            <w:r>
              <w:rPr>
                <w:rFonts w:ascii="微軟正黑體" w:eastAsia="微軟正黑體" w:hAnsi="微軟正黑體" w:hint="eastAsia"/>
              </w:rPr>
              <w:t>、文字</w:t>
            </w:r>
          </w:p>
        </w:tc>
      </w:tr>
      <w:tr w:rsidR="004B6B81" w:rsidRPr="002C1B27" w:rsidTr="0098350E">
        <w:trPr>
          <w:cantSplit/>
          <w:trHeight w:val="1705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0E" w:rsidRDefault="00892EB2" w:rsidP="00892EB2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置備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進度表：</w:t>
            </w:r>
          </w:p>
          <w:p w:rsidR="004B6B81" w:rsidRPr="00892EB2" w:rsidRDefault="0098350E" w:rsidP="0098350E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5E11750C" wp14:editId="0888C5CB">
                  <wp:extent cx="5796501" cy="3347499"/>
                  <wp:effectExtent l="0" t="0" r="13970" b="5715"/>
                  <wp:docPr id="1" name="圖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4B6B81" w:rsidRPr="002C1B27" w:rsidTr="00472CF8">
        <w:trPr>
          <w:cantSplit/>
          <w:trHeight w:val="133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49" w:rsidRPr="00017E49" w:rsidRDefault="00BC1619" w:rsidP="00017E49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/>
                <w:sz w:val="36"/>
              </w:rPr>
              <w:lastRenderedPageBreak/>
              <w:t>預期成效</w:t>
            </w:r>
            <w:r w:rsidR="004B6B81" w:rsidRPr="00BC1619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017E49" w:rsidRPr="00017E49" w:rsidRDefault="00017E49" w:rsidP="00017E49">
            <w:pPr>
              <w:pStyle w:val="a7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17E49">
              <w:rPr>
                <w:rFonts w:ascii="微軟正黑體" w:eastAsia="微軟正黑體" w:hAnsi="微軟正黑體" w:hint="eastAsia"/>
              </w:rPr>
              <w:t>讓觀眾加深對3D列印的原理、應用、發展等各方面的了解，從而帶出我</w:t>
            </w:r>
            <w:r w:rsidRPr="00017E49">
              <w:rPr>
                <w:rFonts w:ascii="微軟正黑體" w:eastAsia="微軟正黑體" w:hAnsi="微軟正黑體"/>
              </w:rPr>
              <w:t>們所強調的</w:t>
            </w:r>
            <w:r w:rsidRPr="00017E49">
              <w:rPr>
                <w:rFonts w:ascii="微軟正黑體" w:eastAsia="微軟正黑體" w:hAnsi="微軟正黑體" w:hint="eastAsia"/>
              </w:rPr>
              <w:t>主題: 3D列印生活化。</w:t>
            </w:r>
          </w:p>
          <w:p w:rsidR="00017E49" w:rsidRPr="00017E49" w:rsidRDefault="00017E49" w:rsidP="00017E49">
            <w:pPr>
              <w:pStyle w:val="a7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17E49">
              <w:rPr>
                <w:rFonts w:ascii="微軟正黑體" w:eastAsia="微軟正黑體" w:hAnsi="微軟正黑體" w:hint="eastAsia"/>
              </w:rPr>
              <w:t>我</w:t>
            </w:r>
            <w:r w:rsidRPr="00017E49">
              <w:rPr>
                <w:rFonts w:ascii="微軟正黑體" w:eastAsia="微軟正黑體" w:hAnsi="微軟正黑體"/>
              </w:rPr>
              <w:t>們所選取的媒體通路網路</w:t>
            </w:r>
            <w:r w:rsidRPr="00017E49">
              <w:rPr>
                <w:rFonts w:ascii="微軟正黑體" w:eastAsia="微軟正黑體" w:hAnsi="微軟正黑體" w:hint="eastAsia"/>
              </w:rPr>
              <w:t>，對於我們的目標觀眾群來說，幾乎全部的大學生都會使用到網路，而會使用網路的高中生約為50%。所以可粗略估計傳播的涵蓋率為75%。</w:t>
            </w:r>
          </w:p>
          <w:p w:rsidR="00892EB2" w:rsidRPr="002C1B27" w:rsidRDefault="00017E49" w:rsidP="00017E49">
            <w:pPr>
              <w:pStyle w:val="a7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我們希望觀眾在收播後，可以知道3D列印所應用的層面的廣泛度，改變以往對3D列印的刻板印象。並希望通過所舉列的一些優缺點，讓觀眾對3D列印有自己的一套想法，思考如何把3D列印帶到自己的生活裹。</w:t>
            </w:r>
            <w:r w:rsidRPr="002C1B27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892EB2" w:rsidRPr="002C1B27" w:rsidTr="00472CF8">
        <w:trPr>
          <w:cantSplit/>
          <w:trHeight w:val="133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49" w:rsidRPr="00170297" w:rsidRDefault="00892EB2" w:rsidP="00017E49">
            <w:pPr>
              <w:pStyle w:val="a7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sz w:val="36"/>
              </w:rPr>
            </w:pPr>
            <w:r w:rsidRPr="00892EB2">
              <w:rPr>
                <w:rFonts w:ascii="微軟正黑體" w:eastAsia="微軟正黑體" w:hAnsi="微軟正黑體" w:hint="eastAsia"/>
                <w:sz w:val="36"/>
              </w:rPr>
              <w:t>經費概算</w:t>
            </w:r>
            <w:r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017E49">
              <w:rPr>
                <w:rFonts w:ascii="微軟正黑體" w:eastAsia="微軟正黑體" w:hAnsi="微軟正黑體" w:hint="eastAsia"/>
              </w:rPr>
              <w:t>拍攝成本約為 100 NT</w:t>
            </w:r>
          </w:p>
          <w:p w:rsidR="00892EB2" w:rsidRPr="00017E49" w:rsidRDefault="00017E49" w:rsidP="00017E49">
            <w:pPr>
              <w:ind w:firstLineChars="1300" w:firstLine="3120"/>
              <w:rPr>
                <w:rFonts w:ascii="微軟正黑體" w:eastAsia="微軟正黑體" w:hAnsi="微軟正黑體"/>
                <w:sz w:val="36"/>
              </w:rPr>
            </w:pPr>
            <w:r w:rsidRPr="00017E49">
              <w:rPr>
                <w:rFonts w:ascii="微軟正黑體" w:eastAsia="微軟正黑體" w:hAnsi="微軟正黑體" w:hint="eastAsia"/>
              </w:rPr>
              <w:t xml:space="preserve">道具 </w:t>
            </w:r>
            <w:r w:rsidRPr="00017E49">
              <w:rPr>
                <w:rFonts w:ascii="微軟正黑體" w:eastAsiaTheme="minorEastAsia" w:hAnsi="微軟正黑體" w:hint="eastAsia"/>
              </w:rPr>
              <w:t>:</w:t>
            </w:r>
            <w:r w:rsidRPr="00017E49">
              <w:rPr>
                <w:rFonts w:ascii="微軟正黑體" w:eastAsiaTheme="minorEastAsia" w:hAnsi="微軟正黑體"/>
              </w:rPr>
              <w:t xml:space="preserve"> </w:t>
            </w:r>
            <w:r w:rsidRPr="00017E49">
              <w:rPr>
                <w:rFonts w:ascii="微軟正黑體" w:eastAsiaTheme="minorEastAsia" w:hAnsi="微軟正黑體" w:hint="eastAsia"/>
              </w:rPr>
              <w:t>筆記本</w:t>
            </w:r>
            <w:r w:rsidRPr="00017E49">
              <w:rPr>
                <w:rFonts w:ascii="微軟正黑體" w:eastAsiaTheme="minorEastAsia" w:hAnsi="微軟正黑體" w:hint="eastAsia"/>
              </w:rPr>
              <w:t xml:space="preserve"> x 1     60 NT</w:t>
            </w:r>
            <w:r w:rsidRPr="00017E49">
              <w:rPr>
                <w:rFonts w:ascii="微軟正黑體" w:eastAsiaTheme="minorEastAsia" w:hAnsi="微軟正黑體"/>
              </w:rPr>
              <w:br/>
            </w:r>
            <w:r w:rsidRPr="00017E49">
              <w:rPr>
                <w:rFonts w:ascii="微軟正黑體" w:eastAsiaTheme="minorEastAsia" w:hAnsi="微軟正黑體" w:hint="eastAsia"/>
              </w:rPr>
              <w:t xml:space="preserve">                             </w:t>
            </w:r>
            <w:r>
              <w:rPr>
                <w:rFonts w:ascii="微軟正黑體" w:eastAsiaTheme="minorEastAsia" w:hAnsi="微軟正黑體"/>
              </w:rPr>
              <w:t xml:space="preserve">   </w:t>
            </w:r>
            <w:r w:rsidRPr="00017E49">
              <w:rPr>
                <w:rFonts w:ascii="微軟正黑體" w:eastAsiaTheme="minorEastAsia" w:hAnsi="微軟正黑體" w:hint="eastAsia"/>
              </w:rPr>
              <w:t>麥克筆</w:t>
            </w:r>
            <w:r w:rsidRPr="00017E49">
              <w:rPr>
                <w:rFonts w:ascii="微軟正黑體" w:eastAsiaTheme="minorEastAsia" w:hAnsi="微軟正黑體" w:hint="eastAsia"/>
              </w:rPr>
              <w:t xml:space="preserve"> x1     20 NT</w:t>
            </w:r>
          </w:p>
        </w:tc>
      </w:tr>
    </w:tbl>
    <w:p w:rsidR="004B6B81" w:rsidRPr="002C1B27" w:rsidRDefault="004B6B81" w:rsidP="009C3F87">
      <w:pPr>
        <w:spacing w:line="360" w:lineRule="auto"/>
        <w:rPr>
          <w:rFonts w:ascii="微軟正黑體" w:eastAsia="微軟正黑體" w:hAnsi="微軟正黑體"/>
        </w:rPr>
      </w:pPr>
      <w:bookmarkStart w:id="0" w:name="_GoBack"/>
      <w:bookmarkEnd w:id="0"/>
    </w:p>
    <w:sectPr w:rsidR="004B6B81" w:rsidRPr="002C1B27" w:rsidSect="009C3F87">
      <w:pgSz w:w="11906" w:h="16838"/>
      <w:pgMar w:top="568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EF" w:rsidRDefault="00A77CEF" w:rsidP="002C1B27">
      <w:r>
        <w:separator/>
      </w:r>
    </w:p>
  </w:endnote>
  <w:endnote w:type="continuationSeparator" w:id="0">
    <w:p w:rsidR="00A77CEF" w:rsidRDefault="00A77CEF" w:rsidP="002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EF" w:rsidRDefault="00A77CEF" w:rsidP="002C1B27">
      <w:r>
        <w:separator/>
      </w:r>
    </w:p>
  </w:footnote>
  <w:footnote w:type="continuationSeparator" w:id="0">
    <w:p w:rsidR="00A77CEF" w:rsidRDefault="00A77CEF" w:rsidP="002C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3E7467"/>
    <w:multiLevelType w:val="hybridMultilevel"/>
    <w:tmpl w:val="E52A2D8A"/>
    <w:lvl w:ilvl="0" w:tplc="6A1AE6E4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6E0DDD"/>
    <w:multiLevelType w:val="hybridMultilevel"/>
    <w:tmpl w:val="E8A83C38"/>
    <w:lvl w:ilvl="0" w:tplc="4D2A9BD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3">
    <w:nsid w:val="653A3A25"/>
    <w:multiLevelType w:val="hybridMultilevel"/>
    <w:tmpl w:val="A91E81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BA7D63"/>
    <w:multiLevelType w:val="hybridMultilevel"/>
    <w:tmpl w:val="742669A6"/>
    <w:lvl w:ilvl="0" w:tplc="6A1AE6E4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5">
    <w:nsid w:val="7F00078E"/>
    <w:multiLevelType w:val="hybridMultilevel"/>
    <w:tmpl w:val="32D6CD5C"/>
    <w:lvl w:ilvl="0" w:tplc="A2D2F8CC">
      <w:start w:val="1"/>
      <w:numFmt w:val="taiwaneseCountingThousand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81"/>
    <w:rsid w:val="00001653"/>
    <w:rsid w:val="00017E49"/>
    <w:rsid w:val="00057A72"/>
    <w:rsid w:val="0009110D"/>
    <w:rsid w:val="0017454D"/>
    <w:rsid w:val="001A738A"/>
    <w:rsid w:val="001E2BE2"/>
    <w:rsid w:val="002C1B27"/>
    <w:rsid w:val="00316AC3"/>
    <w:rsid w:val="003B654F"/>
    <w:rsid w:val="00420903"/>
    <w:rsid w:val="00472CF8"/>
    <w:rsid w:val="004B6B81"/>
    <w:rsid w:val="005259DD"/>
    <w:rsid w:val="005328B6"/>
    <w:rsid w:val="00560F2C"/>
    <w:rsid w:val="005C212C"/>
    <w:rsid w:val="00607251"/>
    <w:rsid w:val="0075336C"/>
    <w:rsid w:val="0080471B"/>
    <w:rsid w:val="00892EB2"/>
    <w:rsid w:val="00893F70"/>
    <w:rsid w:val="008D3800"/>
    <w:rsid w:val="008F74E9"/>
    <w:rsid w:val="0091604A"/>
    <w:rsid w:val="0098350E"/>
    <w:rsid w:val="009A16A8"/>
    <w:rsid w:val="009C3F87"/>
    <w:rsid w:val="00A77CEF"/>
    <w:rsid w:val="00AF3261"/>
    <w:rsid w:val="00B7070A"/>
    <w:rsid w:val="00BC1619"/>
    <w:rsid w:val="00C343FF"/>
    <w:rsid w:val="00D66B81"/>
    <w:rsid w:val="00E14630"/>
    <w:rsid w:val="00EE674B"/>
    <w:rsid w:val="00F215EE"/>
    <w:rsid w:val="00F93A32"/>
    <w:rsid w:val="00FD358A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2D416D-6731-47F8-A5DF-B5C663C2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paragraph" w:styleId="a7">
    <w:name w:val="List Paragraph"/>
    <w:basedOn w:val="a"/>
    <w:uiPriority w:val="34"/>
    <w:qFormat/>
    <w:rsid w:val="009160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ropbox\01%20HW\102-&#36039;&#26009;&#24235;&#20998;&#26512;\ex\ex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800" b="1"/>
              <a:t>工作進度表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9525">
          <a:noFill/>
        </a:ln>
        <a:effectLst/>
        <a:sp3d/>
      </c:spPr>
    </c:sideWall>
    <c:backWall>
      <c:thickness val="0"/>
      <c:spPr>
        <a:noFill/>
        <a:ln w="9525"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'甘特圖 (2)'!$B$1</c:f>
              <c:strCache>
                <c:ptCount val="1"/>
                <c:pt idx="0">
                  <c:v>開始日期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.23436065890536689"/>
                  <c:y val="3.79464519126344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3843258089671307"/>
                  <c:y val="1.138333803892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6393911267226566"/>
                  <c:y val="3.79464519126344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7458421608341904"/>
                  <c:y val="3.329464295050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6949888549207424"/>
                  <c:y val="1.0452976246495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'甘特圖 (2)'!$A$2:$A$7</c:f>
              <c:strCache>
                <c:ptCount val="6"/>
                <c:pt idx="0">
                  <c:v>討論主題</c:v>
                </c:pt>
                <c:pt idx="1">
                  <c:v>討論傳播方式</c:v>
                </c:pt>
                <c:pt idx="2">
                  <c:v>準備材料</c:v>
                </c:pt>
                <c:pt idx="3">
                  <c:v>拍攝影片</c:v>
                </c:pt>
                <c:pt idx="4">
                  <c:v>後製</c:v>
                </c:pt>
                <c:pt idx="5">
                  <c:v>文字稿製作</c:v>
                </c:pt>
              </c:strCache>
            </c:strRef>
          </c:cat>
          <c:val>
            <c:numRef>
              <c:f>'甘特圖 (2)'!$B$2:$B$7</c:f>
              <c:numCache>
                <c:formatCode>mm/dd</c:formatCode>
                <c:ptCount val="6"/>
                <c:pt idx="0">
                  <c:v>41588</c:v>
                </c:pt>
                <c:pt idx="1">
                  <c:v>41614</c:v>
                </c:pt>
                <c:pt idx="2">
                  <c:v>41615</c:v>
                </c:pt>
                <c:pt idx="3">
                  <c:v>41616</c:v>
                </c:pt>
                <c:pt idx="4">
                  <c:v>41617</c:v>
                </c:pt>
                <c:pt idx="5">
                  <c:v>41617</c:v>
                </c:pt>
              </c:numCache>
            </c:numRef>
          </c:val>
        </c:ser>
        <c:ser>
          <c:idx val="1"/>
          <c:order val="1"/>
          <c:tx>
            <c:strRef>
              <c:f>'甘特圖 (2)'!$C$1</c:f>
              <c:strCache>
                <c:ptCount val="1"/>
                <c:pt idx="0">
                  <c:v>花費時間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5000"/>
                    <a:lumOff val="95000"/>
                  </a:schemeClr>
                </a:gs>
                <a:gs pos="23000">
                  <a:schemeClr val="accent1">
                    <a:lumMod val="60000"/>
                    <a:lumOff val="40000"/>
                  </a:schemeClr>
                </a:gs>
                <a:gs pos="11000">
                  <a:schemeClr val="accent1">
                    <a:lumMod val="60000"/>
                    <a:lumOff val="40000"/>
                  </a:schemeClr>
                </a:gs>
                <a:gs pos="36000">
                  <a:schemeClr val="accent1">
                    <a:lumMod val="60000"/>
                    <a:lumOff val="40000"/>
                  </a:schemeClr>
                </a:gs>
                <a:gs pos="0">
                  <a:schemeClr val="accent1">
                    <a:lumMod val="60000"/>
                    <a:lumOff val="40000"/>
                  </a:schemeClr>
                </a:gs>
              </a:gsLst>
              <a:lin ang="54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'甘特圖 (2)'!$A$2:$A$7</c:f>
              <c:strCache>
                <c:ptCount val="6"/>
                <c:pt idx="0">
                  <c:v>討論主題</c:v>
                </c:pt>
                <c:pt idx="1">
                  <c:v>討論傳播方式</c:v>
                </c:pt>
                <c:pt idx="2">
                  <c:v>準備材料</c:v>
                </c:pt>
                <c:pt idx="3">
                  <c:v>拍攝影片</c:v>
                </c:pt>
                <c:pt idx="4">
                  <c:v>後製</c:v>
                </c:pt>
                <c:pt idx="5">
                  <c:v>文字稿製作</c:v>
                </c:pt>
              </c:strCache>
            </c:strRef>
          </c:cat>
          <c:val>
            <c:numRef>
              <c:f>'甘特圖 (2)'!$C$2:$C$7</c:f>
              <c:numCache>
                <c:formatCode>0"天"</c:formatCode>
                <c:ptCount val="6"/>
                <c:pt idx="0">
                  <c:v>7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99111152"/>
        <c:axId val="1499111696"/>
        <c:axId val="0"/>
      </c:bar3DChart>
      <c:catAx>
        <c:axId val="14991111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9111696"/>
        <c:crosses val="autoZero"/>
        <c:auto val="1"/>
        <c:lblAlgn val="ctr"/>
        <c:lblOffset val="100"/>
        <c:noMultiLvlLbl val="0"/>
      </c:catAx>
      <c:valAx>
        <c:axId val="1499111696"/>
        <c:scaling>
          <c:orientation val="minMax"/>
          <c:max val="41623"/>
          <c:min val="41584"/>
        </c:scaling>
        <c:delete val="0"/>
        <c:axPos val="t"/>
        <c:majorGridlines>
          <c:spPr>
            <a:ln w="0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mm/dd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9111152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blipFill dpi="0" rotWithShape="1">
      <a:blip xmlns:r="http://schemas.openxmlformats.org/officeDocument/2006/relationships" r:embed="rId3">
        <a:alphaModFix amt="68000"/>
      </a:blip>
      <a:srcRect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709FE-20DD-4CF6-B42C-F9F506DE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朝陽科技大學傳播藝術系企劃書</vt:lpstr>
    </vt:vector>
  </TitlesOfParts>
  <Company>HOMGER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林大鼎</cp:lastModifiedBy>
  <cp:revision>2</cp:revision>
  <dcterms:created xsi:type="dcterms:W3CDTF">2013-12-29T02:59:00Z</dcterms:created>
  <dcterms:modified xsi:type="dcterms:W3CDTF">2013-12-29T02:59:00Z</dcterms:modified>
</cp:coreProperties>
</file>